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D66BD">
      <w:pPr>
        <w:spacing w:line="360" w:lineRule="auto"/>
        <w:ind w:firstLine="723" w:firstLineChars="200"/>
        <w:jc w:val="center"/>
        <w:rPr>
          <w:rFonts w:hint="eastAsia" w:eastAsiaTheme="minorEastAsia"/>
          <w:b/>
          <w:color w:val="auto"/>
          <w:sz w:val="36"/>
          <w:szCs w:val="36"/>
          <w:lang w:val="zh-CN"/>
        </w:rPr>
      </w:pPr>
      <w:r>
        <w:rPr>
          <w:rFonts w:hint="eastAsia" w:eastAsiaTheme="minorEastAsia"/>
          <w:b/>
          <w:color w:val="auto"/>
          <w:sz w:val="36"/>
          <w:szCs w:val="36"/>
          <w:lang w:val="zh-CN"/>
        </w:rPr>
        <w:t>安庆汇辰科技有限公司年产300吨甘露醇纯化</w:t>
      </w:r>
    </w:p>
    <w:p w14:paraId="692D74EB">
      <w:pPr>
        <w:spacing w:line="360" w:lineRule="auto"/>
        <w:ind w:firstLine="723" w:firstLineChars="200"/>
        <w:jc w:val="center"/>
        <w:rPr>
          <w:rFonts w:eastAsiaTheme="minorEastAsia"/>
          <w:b/>
          <w:color w:val="auto"/>
          <w:sz w:val="36"/>
          <w:szCs w:val="36"/>
        </w:rPr>
      </w:pPr>
      <w:r>
        <w:rPr>
          <w:rFonts w:hint="eastAsia" w:eastAsiaTheme="minorEastAsia"/>
          <w:b/>
          <w:color w:val="auto"/>
          <w:sz w:val="36"/>
          <w:szCs w:val="36"/>
          <w:lang w:val="zh-CN"/>
        </w:rPr>
        <w:t>建设项目</w:t>
      </w:r>
      <w:r>
        <w:rPr>
          <w:rFonts w:eastAsiaTheme="minorEastAsia"/>
          <w:b/>
          <w:color w:val="auto"/>
          <w:sz w:val="36"/>
          <w:szCs w:val="36"/>
        </w:rPr>
        <w:t>竣工环境保护验收意见</w:t>
      </w:r>
    </w:p>
    <w:p w14:paraId="2CD132F6">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202</w:t>
      </w:r>
      <w:r>
        <w:rPr>
          <w:rFonts w:hint="eastAsia"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eastAsia="zh-CN"/>
        </w:rPr>
        <w:t>月</w:t>
      </w:r>
      <w:r>
        <w:rPr>
          <w:rFonts w:hint="eastAsia" w:ascii="Times New Roman" w:hAnsi="Times New Roman" w:eastAsia="宋体" w:cs="Times New Roman"/>
          <w:sz w:val="24"/>
          <w:szCs w:val="24"/>
          <w:highlight w:val="none"/>
          <w:lang w:val="en-US" w:eastAsia="zh-CN"/>
        </w:rPr>
        <w:t>28</w:t>
      </w:r>
      <w:r>
        <w:rPr>
          <w:rFonts w:hint="eastAsia" w:ascii="Times New Roman" w:hAnsi="Times New Roman" w:eastAsia="宋体" w:cs="Times New Roman"/>
          <w:sz w:val="24"/>
          <w:szCs w:val="24"/>
          <w:highlight w:val="none"/>
          <w:lang w:eastAsia="zh-CN"/>
        </w:rPr>
        <w:t>日，安庆汇辰科技有限公司在</w:t>
      </w:r>
      <w:r>
        <w:rPr>
          <w:rFonts w:hint="eastAsia" w:ascii="Times New Roman" w:hAnsi="Times New Roman" w:eastAsia="宋体" w:cs="Times New Roman"/>
          <w:sz w:val="24"/>
          <w:szCs w:val="24"/>
          <w:highlight w:val="none"/>
          <w:lang w:val="en-US" w:eastAsia="zh-CN"/>
        </w:rPr>
        <w:t>安庆市</w:t>
      </w:r>
      <w:r>
        <w:rPr>
          <w:rFonts w:hint="eastAsia" w:ascii="Times New Roman" w:hAnsi="Times New Roman" w:eastAsia="宋体" w:cs="Times New Roman"/>
          <w:sz w:val="24"/>
          <w:szCs w:val="24"/>
          <w:highlight w:val="none"/>
          <w:lang w:eastAsia="zh-CN"/>
        </w:rPr>
        <w:t>主持召开了安庆汇辰科技有限公司年产300吨甘露醇纯化建设项目竣工环境保护验收现场会，根据安庆汇辰科技有限公司年产300吨甘露醇纯化建设项目</w:t>
      </w:r>
      <w:r>
        <w:rPr>
          <w:rFonts w:hint="default" w:ascii="Times New Roman" w:hAnsi="Times New Roman" w:eastAsia="宋体" w:cs="Times New Roman"/>
          <w:sz w:val="24"/>
          <w:szCs w:val="24"/>
          <w:highlight w:val="none"/>
          <w:lang w:eastAsia="zh-CN"/>
        </w:rPr>
        <w:t>竣工环境保护</w:t>
      </w:r>
      <w:r>
        <w:rPr>
          <w:rFonts w:hint="eastAsia" w:ascii="Times New Roman" w:hAnsi="Times New Roman" w:eastAsia="宋体" w:cs="Times New Roman"/>
          <w:sz w:val="24"/>
          <w:szCs w:val="24"/>
          <w:highlight w:val="none"/>
          <w:lang w:eastAsia="zh-CN"/>
        </w:rPr>
        <w:t>验收监测报告（表）并对照《建设项目竣工环境保护验收暂行办法》，严格依照国家有关法律法规、建设项目竣工环境保护验收技术规范/指南、本项目环境影响评价报告表和审批部门审批决定等要求对本项目进行验收，提出意见如下：</w:t>
      </w:r>
    </w:p>
    <w:p w14:paraId="4D3D8D14">
      <w:pPr>
        <w:pStyle w:val="23"/>
        <w:spacing w:before="0" w:beforeAutospacing="0" w:after="0" w:afterAutospacing="0" w:line="360" w:lineRule="auto"/>
        <w:ind w:firstLine="562" w:firstLineChars="200"/>
        <w:outlineLvl w:val="0"/>
        <w:rPr>
          <w:b/>
          <w:color w:val="auto"/>
          <w:sz w:val="28"/>
          <w:szCs w:val="28"/>
        </w:rPr>
      </w:pPr>
      <w:r>
        <w:rPr>
          <w:rFonts w:hint="eastAsia"/>
          <w:b/>
          <w:color w:val="auto"/>
          <w:sz w:val="28"/>
          <w:szCs w:val="28"/>
        </w:rPr>
        <w:t>一、工程建设基本情况</w:t>
      </w:r>
    </w:p>
    <w:p w14:paraId="3628FA73">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（一）建设地点、规模、主要建设内容</w:t>
      </w:r>
    </w:p>
    <w:p w14:paraId="16541B86">
      <w:pPr>
        <w:pStyle w:val="6"/>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安庆汇辰科技有限公司曾用名安庆汇辰药业有限公司，成立于2019年9月，位于</w:t>
      </w:r>
      <w:r>
        <w:rPr>
          <w:rFonts w:hint="default" w:ascii="Times New Roman" w:hAnsi="Times New Roman" w:eastAsia="宋体" w:cs="Times New Roman"/>
          <w:sz w:val="24"/>
          <w:szCs w:val="24"/>
          <w:highlight w:val="none"/>
          <w:lang w:eastAsia="zh-CN"/>
        </w:rPr>
        <w:t>安庆高新技术产业开发区丁香路99号</w:t>
      </w:r>
      <w:r>
        <w:rPr>
          <w:rFonts w:hint="eastAsia" w:ascii="Times New Roman" w:hAnsi="Times New Roman" w:eastAsia="宋体" w:cs="Times New Roman"/>
          <w:sz w:val="24"/>
          <w:szCs w:val="24"/>
          <w:highlight w:val="none"/>
          <w:lang w:eastAsia="zh-CN"/>
        </w:rPr>
        <w:t>，主要专用化学产品制造、电子专用材料制造</w:t>
      </w:r>
      <w:r>
        <w:rPr>
          <w:rFonts w:hint="eastAsia" w:ascii="Times New Roman" w:hAnsi="Times New Roman" w:eastAsia="宋体" w:cs="Times New Roman"/>
          <w:sz w:val="24"/>
          <w:szCs w:val="24"/>
          <w:highlight w:val="none"/>
          <w:lang w:val="en-US" w:eastAsia="zh-CN"/>
        </w:rPr>
        <w:t>。公司投资4</w:t>
      </w:r>
      <w:r>
        <w:rPr>
          <w:rFonts w:hint="eastAsia" w:cs="Times New Roman"/>
          <w:sz w:val="24"/>
          <w:szCs w:val="24"/>
          <w:highlight w:val="none"/>
          <w:lang w:val="en-US" w:eastAsia="zh-CN"/>
        </w:rPr>
        <w:t>7</w:t>
      </w:r>
      <w:r>
        <w:rPr>
          <w:rFonts w:hint="eastAsia" w:ascii="Times New Roman" w:hAnsi="Times New Roman" w:eastAsia="宋体" w:cs="Times New Roman"/>
          <w:sz w:val="24"/>
          <w:szCs w:val="24"/>
          <w:highlight w:val="none"/>
          <w:lang w:val="en-US" w:eastAsia="zh-CN"/>
        </w:rPr>
        <w:t>0万元建设《年产300吨甘露醇纯化建设项目》，项目建成后年产300吨甘露醇。</w:t>
      </w:r>
    </w:p>
    <w:p w14:paraId="2CA612D4">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（二）建设过程及环保审批情况</w:t>
      </w:r>
    </w:p>
    <w:p w14:paraId="28936F85">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项目20</w:t>
      </w:r>
      <w:r>
        <w:rPr>
          <w:rFonts w:hint="eastAsia" w:ascii="Times New Roman" w:hAnsi="Times New Roman" w:eastAsia="宋体" w:cs="Times New Roman"/>
          <w:sz w:val="24"/>
          <w:szCs w:val="24"/>
          <w:highlight w:val="none"/>
          <w:lang w:val="en-US" w:eastAsia="zh-CN"/>
        </w:rPr>
        <w:t>25</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12</w:t>
      </w:r>
      <w:r>
        <w:rPr>
          <w:rFonts w:hint="eastAsia" w:ascii="Times New Roman" w:hAnsi="Times New Roman" w:eastAsia="宋体" w:cs="Times New Roman"/>
          <w:sz w:val="24"/>
          <w:szCs w:val="24"/>
          <w:highlight w:val="none"/>
          <w:lang w:eastAsia="zh-CN"/>
        </w:rPr>
        <w:t>月申办环评，</w:t>
      </w:r>
      <w:r>
        <w:rPr>
          <w:rFonts w:hint="default" w:ascii="Times New Roman" w:hAnsi="Times New Roman" w:eastAsia="宋体" w:cs="Times New Roman"/>
          <w:sz w:val="24"/>
          <w:szCs w:val="24"/>
          <w:highlight w:val="none"/>
          <w:lang w:eastAsia="zh-CN"/>
        </w:rPr>
        <w:t>并于202</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eastAsia="zh-CN"/>
        </w:rPr>
        <w:t>年</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eastAsia="zh-CN"/>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lang w:eastAsia="zh-CN"/>
        </w:rPr>
        <w:t>日获得安庆高新技术产业开发区环境保护局出具的《关于年产300吨甘露醇纯化建设项目环境影响评价报告表的批复》（庆高新环建函[2025]14号）。</w:t>
      </w:r>
    </w:p>
    <w:p w14:paraId="31045A5E">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安庆汇辰科技有限公司于202</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lang w:eastAsia="zh-CN"/>
        </w:rPr>
        <w:t>年</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月</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eastAsia="zh-CN"/>
        </w:rPr>
        <w:t>日申请了排污许可证，</w:t>
      </w:r>
      <w:r>
        <w:rPr>
          <w:rFonts w:hint="default" w:ascii="Times New Roman" w:hAnsi="Times New Roman" w:eastAsia="宋体" w:cs="Times New Roman"/>
          <w:sz w:val="24"/>
          <w:szCs w:val="24"/>
          <w:highlight w:val="none"/>
          <w:lang w:val="en-US" w:eastAsia="zh-CN"/>
        </w:rPr>
        <w:t>排污许可编号为：</w:t>
      </w:r>
      <w:r>
        <w:rPr>
          <w:rFonts w:hint="default" w:ascii="Times New Roman" w:hAnsi="Times New Roman" w:eastAsia="宋体" w:cs="Times New Roman"/>
          <w:sz w:val="24"/>
          <w:szCs w:val="24"/>
          <w:highlight w:val="none"/>
          <w:lang w:eastAsia="zh-CN"/>
        </w:rPr>
        <w:t>91340805MA2U38E48C001Q。</w:t>
      </w:r>
    </w:p>
    <w:p w14:paraId="41E1BE98">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安庆中品检测技术有限公司（CMA编号：241212052301）于2026年4月14日~4月23日组织对项目环境保护设施的污染物排放情况进行了全面的调查和监测。</w:t>
      </w:r>
    </w:p>
    <w:p w14:paraId="2DB47BC7">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三</w:t>
      </w: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投资情况</w:t>
      </w:r>
    </w:p>
    <w:p w14:paraId="39CA5E22">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本</w:t>
      </w:r>
      <w:r>
        <w:rPr>
          <w:rFonts w:hint="default" w:ascii="Times New Roman" w:hAnsi="Times New Roman" w:eastAsia="宋体" w:cs="Times New Roman"/>
          <w:sz w:val="24"/>
          <w:szCs w:val="24"/>
          <w:highlight w:val="none"/>
          <w:lang w:eastAsia="zh-CN"/>
        </w:rPr>
        <w:t>项目</w:t>
      </w:r>
      <w:r>
        <w:rPr>
          <w:rFonts w:hint="eastAsia" w:ascii="Times New Roman" w:hAnsi="Times New Roman" w:eastAsia="宋体" w:cs="Times New Roman"/>
          <w:sz w:val="24"/>
          <w:szCs w:val="24"/>
          <w:highlight w:val="none"/>
          <w:lang w:eastAsia="zh-CN"/>
        </w:rPr>
        <w:t>实际</w:t>
      </w:r>
      <w:r>
        <w:rPr>
          <w:rFonts w:hint="default" w:ascii="Times New Roman" w:hAnsi="Times New Roman" w:eastAsia="宋体" w:cs="Times New Roman"/>
          <w:sz w:val="24"/>
          <w:szCs w:val="24"/>
          <w:highlight w:val="none"/>
          <w:lang w:eastAsia="zh-CN"/>
        </w:rPr>
        <w:t>总投资</w:t>
      </w:r>
      <w:r>
        <w:rPr>
          <w:rFonts w:hint="eastAsia" w:ascii="Times New Roman" w:hAnsi="Times New Roman" w:eastAsia="宋体" w:cs="Times New Roman"/>
          <w:sz w:val="24"/>
          <w:szCs w:val="24"/>
          <w:highlight w:val="none"/>
          <w:lang w:eastAsia="zh-CN"/>
        </w:rPr>
        <w:t>额</w:t>
      </w:r>
      <w:r>
        <w:rPr>
          <w:rFonts w:hint="default" w:ascii="Times New Roman" w:hAnsi="Times New Roman" w:eastAsia="宋体" w:cs="Times New Roman"/>
          <w:sz w:val="24"/>
          <w:szCs w:val="24"/>
          <w:highlight w:val="none"/>
          <w:lang w:eastAsia="zh-CN"/>
        </w:rPr>
        <w:t>为</w:t>
      </w:r>
      <w:r>
        <w:rPr>
          <w:rFonts w:hint="eastAsia" w:ascii="Times New Roman" w:hAnsi="Times New Roman" w:eastAsia="宋体" w:cs="Times New Roman"/>
          <w:sz w:val="24"/>
          <w:szCs w:val="24"/>
          <w:highlight w:val="none"/>
          <w:lang w:val="en-US" w:eastAsia="zh-CN"/>
        </w:rPr>
        <w:t>470</w:t>
      </w:r>
      <w:r>
        <w:rPr>
          <w:rFonts w:hint="default" w:ascii="Times New Roman" w:hAnsi="Times New Roman" w:eastAsia="宋体" w:cs="Times New Roman"/>
          <w:sz w:val="24"/>
          <w:szCs w:val="24"/>
          <w:highlight w:val="none"/>
          <w:lang w:eastAsia="zh-CN"/>
        </w:rPr>
        <w:t>万元，其中环保投资</w:t>
      </w:r>
      <w:r>
        <w:rPr>
          <w:rFonts w:hint="eastAsia" w:ascii="Times New Roman" w:hAnsi="Times New Roman" w:eastAsia="宋体" w:cs="Times New Roman"/>
          <w:sz w:val="24"/>
          <w:szCs w:val="24"/>
          <w:highlight w:val="none"/>
          <w:lang w:val="en-US" w:eastAsia="zh-CN"/>
        </w:rPr>
        <w:t>72</w:t>
      </w:r>
      <w:r>
        <w:rPr>
          <w:rFonts w:hint="default" w:ascii="Times New Roman" w:hAnsi="Times New Roman" w:eastAsia="宋体" w:cs="Times New Roman"/>
          <w:sz w:val="24"/>
          <w:szCs w:val="24"/>
          <w:highlight w:val="none"/>
          <w:lang w:eastAsia="zh-CN"/>
        </w:rPr>
        <w:t>万元。</w:t>
      </w:r>
    </w:p>
    <w:p w14:paraId="5C433AA3">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四</w:t>
      </w:r>
      <w:r>
        <w:rPr>
          <w:rFonts w:hint="default" w:ascii="Times New Roman" w:hAnsi="Times New Roman" w:eastAsia="宋体" w:cs="Times New Roman"/>
          <w:sz w:val="24"/>
          <w:szCs w:val="24"/>
          <w:highlight w:val="none"/>
          <w:lang w:eastAsia="zh-CN"/>
        </w:rPr>
        <w:t>）验收范围</w:t>
      </w:r>
    </w:p>
    <w:p w14:paraId="205C8419">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本次验收范围为年产300吨甘露醇纯化建设项目环境影响评价中的建设内容及实际变化内容</w:t>
      </w:r>
      <w:r>
        <w:rPr>
          <w:rFonts w:hint="eastAsia" w:ascii="Times New Roman" w:hAnsi="Times New Roman" w:eastAsia="宋体" w:cs="Times New Roman"/>
          <w:sz w:val="24"/>
          <w:szCs w:val="24"/>
          <w:highlight w:val="none"/>
          <w:lang w:eastAsia="zh-CN"/>
        </w:rPr>
        <w:t>。</w:t>
      </w:r>
    </w:p>
    <w:p w14:paraId="1507A433">
      <w:pPr>
        <w:pStyle w:val="23"/>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二、工程变动情况</w:t>
      </w:r>
    </w:p>
    <w:p w14:paraId="2D28051E">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项目建设过程中结合实际情况发生变动情况见</w:t>
      </w:r>
      <w:r>
        <w:rPr>
          <w:rFonts w:hint="eastAsia" w:ascii="Times New Roman" w:hAnsi="Times New Roman" w:eastAsia="宋体" w:cs="Times New Roman"/>
          <w:sz w:val="24"/>
          <w:szCs w:val="24"/>
          <w:highlight w:val="none"/>
          <w:lang w:val="en-US" w:eastAsia="zh-CN"/>
        </w:rPr>
        <w:t>下</w:t>
      </w:r>
      <w:r>
        <w:rPr>
          <w:rFonts w:hint="eastAsia" w:ascii="Times New Roman" w:hAnsi="Times New Roman" w:eastAsia="宋体" w:cs="Times New Roman"/>
          <w:sz w:val="24"/>
          <w:szCs w:val="24"/>
          <w:highlight w:val="none"/>
          <w:lang w:eastAsia="zh-CN"/>
        </w:rPr>
        <w:t>表。</w:t>
      </w:r>
    </w:p>
    <w:p w14:paraId="3F2509AA">
      <w:pPr>
        <w:pStyle w:val="26"/>
        <w:keepNext w:val="0"/>
        <w:keepLines w:val="0"/>
        <w:suppressLineNumbers w:val="0"/>
        <w:bidi w:val="0"/>
        <w:spacing w:before="0" w:beforeAutospacing="0" w:after="0" w:afterAutospacing="0"/>
        <w:ind w:left="0" w:right="0"/>
        <w:rPr>
          <w:rFonts w:hint="default" w:ascii="宋体" w:hAnsi="宋体" w:eastAsia="宋体" w:cs="宋体"/>
          <w:bCs/>
          <w:color w:val="auto"/>
          <w:sz w:val="24"/>
          <w:lang w:val="en-US" w:eastAsia="zh-CN"/>
        </w:rPr>
      </w:pPr>
      <w:r>
        <w:rPr>
          <w:rFonts w:hint="eastAsia" w:ascii="宋体" w:hAnsi="宋体" w:cs="宋体"/>
          <w:bCs/>
          <w:color w:val="auto"/>
          <w:sz w:val="24"/>
          <w:lang w:val="en-US" w:eastAsia="zh-CN"/>
        </w:rPr>
        <w:t>表1 项目主要变动情况汇总表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22"/>
        <w:gridCol w:w="3014"/>
        <w:gridCol w:w="2504"/>
      </w:tblGrid>
      <w:tr w14:paraId="44CE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CF190E">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136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E519FE">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环评内容</w:t>
            </w:r>
          </w:p>
        </w:tc>
        <w:tc>
          <w:tcPr>
            <w:tcW w:w="1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15AC5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实际建设情况</w:t>
            </w:r>
          </w:p>
        </w:tc>
        <w:tc>
          <w:tcPr>
            <w:tcW w:w="14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B80B8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变动原因</w:t>
            </w:r>
          </w:p>
        </w:tc>
      </w:tr>
      <w:tr w14:paraId="0380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6D6691">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36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22199D">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102车间工艺废气、甲醇清洗废气</w:t>
            </w:r>
            <w:r>
              <w:rPr>
                <w:rFonts w:hint="eastAsia" w:ascii="Times New Roman" w:hAnsi="Times New Roman" w:cs="Times New Roman"/>
                <w:color w:val="auto"/>
                <w:sz w:val="21"/>
                <w:szCs w:val="21"/>
                <w:lang w:val="en-US" w:eastAsia="zh-CN"/>
              </w:rPr>
              <w:t>通过</w:t>
            </w:r>
            <w:r>
              <w:rPr>
                <w:rFonts w:hint="default" w:ascii="Times New Roman" w:hAnsi="Times New Roman" w:cs="Times New Roman"/>
                <w:color w:val="auto"/>
                <w:sz w:val="21"/>
                <w:szCs w:val="21"/>
                <w:lang w:val="en-US" w:eastAsia="zh-CN"/>
              </w:rPr>
              <w:t>二级活性炭吸附</w:t>
            </w:r>
            <w:r>
              <w:rPr>
                <w:rFonts w:hint="default" w:ascii="Times New Roman" w:hAnsi="Times New Roman" w:cs="Times New Roman"/>
                <w:color w:val="auto"/>
                <w:sz w:val="21"/>
                <w:szCs w:val="21"/>
              </w:rPr>
              <w:t>+25m排气筒</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DA001</w:t>
            </w:r>
            <w:r>
              <w:rPr>
                <w:rFonts w:hint="eastAsia" w:ascii="Times New Roman" w:hAnsi="Times New Roman" w:cs="Times New Roman"/>
                <w:color w:val="auto"/>
                <w:sz w:val="21"/>
                <w:szCs w:val="21"/>
                <w:lang w:eastAsia="zh-CN"/>
              </w:rPr>
              <w:t>）</w:t>
            </w:r>
            <w:r>
              <w:rPr>
                <w:rFonts w:hint="default" w:ascii="Times New Roman" w:hAnsi="Times New Roman" w:cs="Times New Roman"/>
                <w:color w:val="auto"/>
                <w:sz w:val="21"/>
                <w:szCs w:val="21"/>
              </w:rPr>
              <w:t>排放</w:t>
            </w:r>
          </w:p>
        </w:tc>
        <w:tc>
          <w:tcPr>
            <w:tcW w:w="1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7D6946">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102车间工艺废气、甲醇清洗废气收集后经过水喷淋+一级碱洗喷淋塔+干燥+一级活性炭吸附+25m排气筒</w:t>
            </w:r>
            <w:r>
              <w:rPr>
                <w:rFonts w:hint="eastAsia" w:ascii="Times New Roman" w:hAnsi="Times New Roman" w:cs="Times New Roman"/>
                <w:color w:val="auto"/>
                <w:sz w:val="21"/>
                <w:szCs w:val="21"/>
                <w:lang w:val="en-US" w:eastAsia="zh-CN"/>
              </w:rPr>
              <w:t>（DA001）</w:t>
            </w:r>
            <w:r>
              <w:rPr>
                <w:rFonts w:hint="default" w:ascii="Times New Roman" w:hAnsi="Times New Roman" w:cs="Times New Roman"/>
                <w:color w:val="auto"/>
                <w:sz w:val="21"/>
                <w:szCs w:val="21"/>
                <w:lang w:val="en-US" w:eastAsia="zh-CN"/>
              </w:rPr>
              <w:t>排放</w:t>
            </w:r>
          </w:p>
        </w:tc>
        <w:tc>
          <w:tcPr>
            <w:tcW w:w="14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475213">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变更后的工艺降低活性炭的起火安全隐患，</w:t>
            </w:r>
            <w:r>
              <w:rPr>
                <w:rFonts w:hint="default" w:ascii="Times New Roman" w:hAnsi="Times New Roman" w:cs="Times New Roman"/>
                <w:color w:val="auto"/>
                <w:sz w:val="21"/>
                <w:szCs w:val="21"/>
                <w:lang w:val="en-US" w:eastAsia="zh-CN"/>
              </w:rPr>
              <w:t>减轻整套后段设备腐蚀，延长配套管道、风机使用寿命</w:t>
            </w:r>
          </w:p>
        </w:tc>
      </w:tr>
    </w:tbl>
    <w:p w14:paraId="6DAFA4D4">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对照《污染影响类建设项目重大变动清单（试行）》，本项目无重大变更，因此无需重新报批环评。</w:t>
      </w:r>
    </w:p>
    <w:p w14:paraId="76C3341B">
      <w:pPr>
        <w:pStyle w:val="26"/>
        <w:keepNext w:val="0"/>
        <w:keepLines w:val="0"/>
        <w:suppressLineNumbers w:val="0"/>
        <w:bidi w:val="0"/>
        <w:spacing w:before="0" w:beforeAutospacing="0" w:after="0" w:afterAutospacing="0"/>
        <w:ind w:left="0" w:right="0"/>
        <w:rPr>
          <w:rFonts w:hint="eastAsia" w:ascii="宋体" w:hAnsi="宋体" w:eastAsia="Times New Roman" w:cs="Times New Roman"/>
          <w:sz w:val="24"/>
          <w:szCs w:val="24"/>
          <w:lang w:eastAsia="zh-CN"/>
        </w:rPr>
      </w:pPr>
      <w:r>
        <w:rPr>
          <w:rFonts w:hint="eastAsia" w:ascii="宋体" w:hAnsi="宋体" w:eastAsia="Times New Roman" w:cs="Times New Roman"/>
          <w:sz w:val="24"/>
          <w:szCs w:val="24"/>
          <w:lang w:eastAsia="zh-CN"/>
        </w:rPr>
        <w:t>表</w:t>
      </w:r>
      <w:r>
        <w:rPr>
          <w:rFonts w:hint="eastAsia" w:ascii="宋体" w:hAnsi="宋体" w:cs="Times New Roman"/>
          <w:sz w:val="24"/>
          <w:szCs w:val="24"/>
          <w:lang w:val="en-US" w:eastAsia="zh-CN"/>
        </w:rPr>
        <w:t>2</w:t>
      </w:r>
      <w:r>
        <w:rPr>
          <w:rFonts w:hint="eastAsia" w:ascii="宋体" w:hAnsi="宋体" w:eastAsia="Times New Roman" w:cs="Times New Roman"/>
          <w:sz w:val="24"/>
          <w:szCs w:val="24"/>
          <w:lang w:eastAsia="zh-CN"/>
        </w:rPr>
        <w:t xml:space="preserve"> 项目变动与《污染影响类建设项目重大变动清单（试行）》对照表</w:t>
      </w:r>
    </w:p>
    <w:tbl>
      <w:tblPr>
        <w:tblStyle w:val="12"/>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4350"/>
        <w:gridCol w:w="2543"/>
        <w:gridCol w:w="1297"/>
      </w:tblGrid>
      <w:tr w14:paraId="6446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4C1F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类别</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DB93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内容</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4A22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实际情况</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A5D7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判定</w:t>
            </w:r>
          </w:p>
        </w:tc>
      </w:tr>
      <w:tr w14:paraId="5F39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2B8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性质</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65E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w:t>
            </w:r>
            <w:r>
              <w:rPr>
                <w:rFonts w:hint="eastAsia" w:ascii="Times New Roman" w:hAnsi="Times New Roman"/>
                <w:sz w:val="21"/>
                <w:szCs w:val="22"/>
              </w:rPr>
              <w:t>、建设项目开发、使用功能发生变化的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AC3F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本项目建设项目开发、使用功能无变化。</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E70E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59F5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41767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规模</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F1A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2</w:t>
            </w:r>
            <w:r>
              <w:rPr>
                <w:rFonts w:hint="eastAsia" w:ascii="Times New Roman" w:hAnsi="Times New Roman"/>
                <w:sz w:val="21"/>
                <w:szCs w:val="22"/>
              </w:rPr>
              <w:t>、生产、处置或储存能力增加30%及以上的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F8E6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本项目生产、处置或储存能力未增加</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5576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6B32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54127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3223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3.</w:t>
            </w:r>
            <w:r>
              <w:rPr>
                <w:rFonts w:hint="eastAsia" w:ascii="Times New Roman" w:hAnsi="Times New Roman"/>
                <w:sz w:val="21"/>
                <w:szCs w:val="22"/>
              </w:rPr>
              <w:t>生产、处置或储存能力增大，导致废水第一类污染物排放量增加的。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2311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不涉及废水第一类污染物</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6B28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107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0AD0F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EFD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4.</w:t>
            </w:r>
            <w:r>
              <w:rPr>
                <w:rFonts w:hint="eastAsia" w:ascii="Times New Roman" w:hAnsi="Times New Roman"/>
                <w:sz w:val="21"/>
                <w:szCs w:val="22"/>
              </w:rPr>
              <w:t>位于环境质量不达标区的建设项目生产、处置或储存能力增大，导致相应污染物排放量增加的(细颗粒物不达标区，相应污染物为二氧化硫、氮氧化物、可吸入颗</w:t>
            </w:r>
            <w:bookmarkStart w:id="1" w:name="_GoBack"/>
            <w:bookmarkEnd w:id="1"/>
            <w:r>
              <w:rPr>
                <w:rFonts w:hint="eastAsia" w:ascii="Times New Roman" w:hAnsi="Times New Roman"/>
                <w:sz w:val="21"/>
                <w:szCs w:val="22"/>
              </w:rPr>
              <w:t>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2DF4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建设项目位于达标区，污染物排放量均未超过环评总量控制指标。</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63D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59DD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E7DB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地点</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6079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5.</w:t>
            </w:r>
            <w:r>
              <w:rPr>
                <w:rFonts w:hint="eastAsia" w:ascii="Times New Roman" w:hAnsi="Times New Roman"/>
                <w:sz w:val="21"/>
                <w:szCs w:val="22"/>
              </w:rPr>
              <w:t>重新选址；在原厂址附近调整(包括总平面布置变化)导致环境防护距离范围变化且新增敏感点的。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2F31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本项目不涉及地点变化</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09D2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348C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35E38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生产工艺</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B4F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sz w:val="21"/>
                <w:szCs w:val="22"/>
              </w:rPr>
            </w:pPr>
            <w:r>
              <w:rPr>
                <w:rFonts w:hint="default" w:ascii="Times New Roman" w:hAnsi="Times New Roman"/>
                <w:sz w:val="21"/>
                <w:szCs w:val="22"/>
              </w:rPr>
              <w:t>6.</w:t>
            </w:r>
            <w:r>
              <w:rPr>
                <w:rFonts w:hint="eastAsia" w:ascii="Times New Roman" w:hAnsi="Times New Roman"/>
                <w:sz w:val="21"/>
                <w:szCs w:val="22"/>
              </w:rPr>
              <w:t>新增产品品种或生产工艺(含主要生产装置、设备及配套设施)、主要原辅材料、燃料变化，导致以下情形之一：</w:t>
            </w:r>
          </w:p>
          <w:p w14:paraId="18B26F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w:t>
            </w:r>
            <w:r>
              <w:rPr>
                <w:rFonts w:hint="eastAsia" w:ascii="Times New Roman" w:hAnsi="Times New Roman"/>
                <w:sz w:val="21"/>
                <w:szCs w:val="22"/>
              </w:rPr>
              <w:t>新增排放污染物种类的(毒性、挥发性降低的除外)；</w:t>
            </w:r>
          </w:p>
          <w:p w14:paraId="225196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2)</w:t>
            </w:r>
            <w:r>
              <w:rPr>
                <w:rFonts w:hint="eastAsia" w:ascii="Times New Roman" w:hAnsi="Times New Roman"/>
                <w:sz w:val="21"/>
                <w:szCs w:val="22"/>
              </w:rPr>
              <w:t>位于环境质量不达标区的建设项目相应污染物排放量增加的；</w:t>
            </w:r>
          </w:p>
          <w:p w14:paraId="4DCB35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(3)</w:t>
            </w:r>
            <w:r>
              <w:rPr>
                <w:rFonts w:hint="eastAsia" w:ascii="Times New Roman" w:hAnsi="Times New Roman"/>
                <w:sz w:val="21"/>
                <w:szCs w:val="22"/>
              </w:rPr>
              <w:t>废水第一类污染物排放量增加的；</w:t>
            </w:r>
          </w:p>
          <w:p w14:paraId="18E76D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(4)</w:t>
            </w:r>
            <w:r>
              <w:rPr>
                <w:rFonts w:hint="eastAsia" w:ascii="Times New Roman" w:hAnsi="Times New Roman"/>
                <w:sz w:val="21"/>
                <w:szCs w:val="22"/>
              </w:rPr>
              <w:t>其他污染物排放量增加10%及以上的。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D6A6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lang w:val="en-US"/>
              </w:rPr>
            </w:pPr>
            <w:r>
              <w:rPr>
                <w:rFonts w:hint="eastAsia" w:ascii="Times New Roman" w:hAnsi="Times New Roman"/>
                <w:sz w:val="21"/>
                <w:szCs w:val="22"/>
              </w:rPr>
              <w:t>本项目</w:t>
            </w:r>
            <w:r>
              <w:rPr>
                <w:rFonts w:hint="eastAsia" w:ascii="Times New Roman" w:hAnsi="Times New Roman"/>
                <w:sz w:val="21"/>
                <w:szCs w:val="22"/>
                <w:lang w:val="en-US" w:eastAsia="zh-CN"/>
              </w:rPr>
              <w:t>不</w:t>
            </w:r>
            <w:r>
              <w:rPr>
                <w:rFonts w:hint="eastAsia"/>
                <w:sz w:val="21"/>
                <w:szCs w:val="22"/>
                <w:lang w:val="en-US" w:eastAsia="zh-CN"/>
              </w:rPr>
              <w:t>涉及生产工艺变化，不新增</w:t>
            </w:r>
            <w:r>
              <w:rPr>
                <w:rFonts w:hint="eastAsia" w:ascii="Times New Roman" w:hAnsi="Times New Roman"/>
                <w:sz w:val="21"/>
                <w:szCs w:val="22"/>
              </w:rPr>
              <w:t>产品品种</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83F8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3050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C74B3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9CE7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7.</w:t>
            </w:r>
            <w:r>
              <w:rPr>
                <w:rFonts w:hint="eastAsia" w:ascii="Times New Roman" w:hAnsi="Times New Roman"/>
                <w:sz w:val="21"/>
                <w:szCs w:val="22"/>
              </w:rPr>
              <w:t>物料运输、装卸、贮存方式变化，导致大气污染物无组织排放量增加10%及以上的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E13C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本项目不涉及物料运输、装卸、贮存方式变化</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0CC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65BF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B95E1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环境保护措施</w:t>
            </w: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2398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8.</w:t>
            </w:r>
            <w:r>
              <w:rPr>
                <w:rFonts w:hint="eastAsia" w:ascii="Times New Roman" w:hAnsi="Times New Roman"/>
                <w:sz w:val="21"/>
                <w:szCs w:val="22"/>
              </w:rPr>
              <w:t>废气、废水污染防治措施变化，导致第6条中所列情形之(废气无组织排放改为有组织排放、污染防治措施强化或改进的除外)或大气污染物无组织排放量增加10%及以上的。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A01D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Theme="minorEastAsia"/>
                <w:sz w:val="21"/>
                <w:szCs w:val="22"/>
                <w:lang w:val="en-US" w:eastAsia="zh-CN"/>
              </w:rPr>
            </w:pPr>
            <w:r>
              <w:rPr>
                <w:rFonts w:hint="eastAsia" w:ascii="Times New Roman" w:hAnsi="Times New Roman"/>
                <w:sz w:val="21"/>
                <w:szCs w:val="22"/>
                <w:lang w:val="en-US" w:eastAsia="zh-CN"/>
              </w:rPr>
              <w:t>废气处理</w:t>
            </w:r>
            <w:r>
              <w:rPr>
                <w:rFonts w:hint="eastAsia" w:ascii="Times New Roman" w:hAnsi="Times New Roman"/>
                <w:sz w:val="21"/>
                <w:szCs w:val="22"/>
              </w:rPr>
              <w:t>污染防治措施变化</w:t>
            </w:r>
            <w:r>
              <w:rPr>
                <w:rFonts w:hint="eastAsia" w:ascii="Times New Roman" w:hAnsi="Times New Roman"/>
                <w:sz w:val="21"/>
                <w:szCs w:val="22"/>
                <w:lang w:eastAsia="zh-CN"/>
              </w:rPr>
              <w:t>，</w:t>
            </w:r>
            <w:r>
              <w:rPr>
                <w:rFonts w:hint="eastAsia" w:ascii="Times New Roman" w:hAnsi="Times New Roman"/>
                <w:sz w:val="21"/>
                <w:szCs w:val="22"/>
                <w:lang w:val="en-US" w:eastAsia="zh-CN"/>
              </w:rPr>
              <w:t>但</w:t>
            </w:r>
            <w:r>
              <w:rPr>
                <w:rFonts w:hint="eastAsia" w:ascii="Times New Roman" w:hAnsi="Times New Roman"/>
                <w:sz w:val="21"/>
                <w:szCs w:val="22"/>
              </w:rPr>
              <w:t>大气污染物无组织排放量</w:t>
            </w:r>
            <w:r>
              <w:rPr>
                <w:rFonts w:hint="eastAsia" w:ascii="Times New Roman" w:hAnsi="Times New Roman"/>
                <w:sz w:val="21"/>
                <w:szCs w:val="22"/>
                <w:lang w:val="en-US" w:eastAsia="zh-CN"/>
              </w:rPr>
              <w:t>未</w:t>
            </w:r>
            <w:r>
              <w:rPr>
                <w:rFonts w:hint="eastAsia" w:ascii="Times New Roman" w:hAnsi="Times New Roman"/>
                <w:sz w:val="21"/>
                <w:szCs w:val="22"/>
              </w:rPr>
              <w:t>增加10%</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CD4E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2B2DA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C7B08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C2D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9.</w:t>
            </w:r>
            <w:r>
              <w:rPr>
                <w:rFonts w:hint="eastAsia" w:ascii="Times New Roman" w:hAnsi="Times New Roman"/>
                <w:sz w:val="21"/>
                <w:szCs w:val="22"/>
              </w:rPr>
              <w:t>新增废水直接排放口；废水由间接排放改为直接排放；废水直接排放口位置变化，导致不利环境影响加重的。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9F5E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本项目不涉及新增废水直接排放口，不涉及废水直接排放</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597C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797B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1891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3771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10.</w:t>
            </w:r>
            <w:r>
              <w:rPr>
                <w:rFonts w:hint="eastAsia" w:ascii="Times New Roman" w:hAnsi="Times New Roman"/>
                <w:sz w:val="21"/>
                <w:szCs w:val="22"/>
              </w:rPr>
              <w:t>新增废气主要排放口(废气无组织排放改为有组织排放的除外)；主要排放口排气筒高度降低10%及以上的。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FEA7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本项目不涉及废气主要排放口</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8954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4749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1C53F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7197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11.</w:t>
            </w:r>
            <w:r>
              <w:rPr>
                <w:rFonts w:hint="eastAsia" w:ascii="Times New Roman" w:hAnsi="Times New Roman"/>
                <w:sz w:val="21"/>
                <w:szCs w:val="22"/>
              </w:rPr>
              <w:t>噪声、土壤或地下水污染防治措施变化，导致不利环境影响加重的。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F07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本项目实际建设相较于环评，噪声、土壤或地下水污染防治措施未发生变化</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5CDD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1318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545BA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946E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12.</w:t>
            </w:r>
            <w:r>
              <w:rPr>
                <w:rFonts w:hint="eastAsia" w:ascii="Times New Roman" w:hAnsi="Times New Roman"/>
                <w:sz w:val="21"/>
                <w:szCs w:val="22"/>
              </w:rPr>
              <w:t>固体废物利用处置方式由委托外单位利用处置改为自行利用处置的(自行利用处置设施单独开展环境影响评价的除外)；固体废物自行处置方式变化，导致不利环境影响加重的。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F0B5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本项目实际生产相较于环评，固体废物利用处置方式未改变</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3974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r w14:paraId="2E6D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29E15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p>
        </w:tc>
        <w:tc>
          <w:tcPr>
            <w:tcW w:w="4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42A5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default" w:ascii="Times New Roman" w:hAnsi="Times New Roman"/>
                <w:sz w:val="21"/>
                <w:szCs w:val="22"/>
              </w:rPr>
              <w:t>13.</w:t>
            </w:r>
            <w:r>
              <w:rPr>
                <w:rFonts w:hint="eastAsia" w:ascii="Times New Roman" w:hAnsi="Times New Roman"/>
                <w:sz w:val="21"/>
                <w:szCs w:val="22"/>
              </w:rPr>
              <w:t>事故废水暂存能力或拦截设施变化，导致环境风险防范能力弱化或降低的。</w:t>
            </w:r>
          </w:p>
        </w:tc>
        <w:tc>
          <w:tcPr>
            <w:tcW w:w="2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2361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本项目事故废水暂存能力或拦截设施</w:t>
            </w:r>
            <w:r>
              <w:rPr>
                <w:rFonts w:hint="eastAsia"/>
                <w:sz w:val="21"/>
                <w:szCs w:val="22"/>
                <w:lang w:val="en-US" w:eastAsia="zh-CN"/>
              </w:rPr>
              <w:t>未</w:t>
            </w:r>
            <w:r>
              <w:rPr>
                <w:rFonts w:hint="eastAsia" w:ascii="Times New Roman" w:hAnsi="Times New Roman"/>
                <w:sz w:val="21"/>
                <w:szCs w:val="22"/>
              </w:rPr>
              <w:t>变化</w:t>
            </w:r>
          </w:p>
        </w:tc>
        <w:tc>
          <w:tcPr>
            <w:tcW w:w="12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94A4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sz w:val="21"/>
                <w:szCs w:val="22"/>
              </w:rPr>
            </w:pPr>
            <w:r>
              <w:rPr>
                <w:rFonts w:hint="eastAsia" w:ascii="Times New Roman" w:hAnsi="Times New Roman"/>
                <w:sz w:val="21"/>
                <w:szCs w:val="22"/>
              </w:rPr>
              <w:t>非重大变动</w:t>
            </w:r>
          </w:p>
        </w:tc>
      </w:tr>
    </w:tbl>
    <w:p w14:paraId="477FA511">
      <w:pPr>
        <w:pStyle w:val="23"/>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三、环境保护设施建设情况</w:t>
      </w:r>
    </w:p>
    <w:p w14:paraId="401D5BCE">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（一）废水</w:t>
      </w:r>
    </w:p>
    <w:p w14:paraId="19230F40">
      <w:pPr>
        <w:pStyle w:val="6"/>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生活污水与生产污水</w:t>
      </w:r>
      <w:r>
        <w:rPr>
          <w:rFonts w:hint="eastAsia" w:ascii="Times New Roman" w:hAnsi="Times New Roman" w:eastAsia="宋体" w:cs="Times New Roman"/>
          <w:sz w:val="24"/>
          <w:szCs w:val="24"/>
          <w:highlight w:val="none"/>
          <w:lang w:val="en-US" w:eastAsia="zh-CN"/>
        </w:rPr>
        <w:t>一同进入低浓度废水收集池</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经过现有厂区污水处理站处理后，</w:t>
      </w:r>
      <w:r>
        <w:rPr>
          <w:rFonts w:hint="eastAsia" w:ascii="Times New Roman" w:hAnsi="Times New Roman" w:eastAsia="宋体" w:cs="Times New Roman"/>
          <w:sz w:val="24"/>
          <w:szCs w:val="24"/>
          <w:highlight w:val="none"/>
          <w:lang w:eastAsia="zh-CN"/>
        </w:rPr>
        <w:t>排入市政污水管网，经</w:t>
      </w:r>
      <w:r>
        <w:rPr>
          <w:rFonts w:hint="eastAsia" w:ascii="Times New Roman" w:hAnsi="Times New Roman" w:eastAsia="宋体" w:cs="Times New Roman"/>
          <w:sz w:val="24"/>
          <w:szCs w:val="24"/>
          <w:highlight w:val="none"/>
          <w:lang w:val="en-US" w:eastAsia="zh-CN"/>
        </w:rPr>
        <w:t>安庆亚同</w:t>
      </w:r>
      <w:r>
        <w:rPr>
          <w:rFonts w:hint="eastAsia" w:ascii="Times New Roman" w:hAnsi="Times New Roman" w:eastAsia="宋体" w:cs="Times New Roman"/>
          <w:sz w:val="24"/>
          <w:szCs w:val="24"/>
          <w:highlight w:val="none"/>
          <w:lang w:eastAsia="zh-CN"/>
        </w:rPr>
        <w:t>城西污水处理厂集中处理</w:t>
      </w:r>
      <w:r>
        <w:rPr>
          <w:rFonts w:hint="eastAsia" w:ascii="Times New Roman" w:hAnsi="Times New Roman" w:eastAsia="宋体" w:cs="Times New Roman"/>
          <w:sz w:val="24"/>
          <w:szCs w:val="24"/>
          <w:highlight w:val="none"/>
          <w:lang w:val="en-US" w:eastAsia="zh-CN"/>
        </w:rPr>
        <w:t>。现有厂区综合污水处理站处理能力为700m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/d，处理工艺如下：</w:t>
      </w:r>
    </w:p>
    <w:p w14:paraId="0CB37656">
      <w:pPr>
        <w:spacing w:line="360" w:lineRule="auto"/>
        <w:ind w:firstLine="480" w:firstLineChars="200"/>
        <w:rPr>
          <w:rFonts w:hint="eastAsia"/>
          <w:color w:val="auto"/>
          <w:sz w:val="24"/>
          <w:lang w:bidi="ar"/>
        </w:rPr>
      </w:pPr>
    </w:p>
    <w:p w14:paraId="3C8EC1D5">
      <w:pPr>
        <w:widowControl/>
        <w:spacing w:line="360" w:lineRule="auto"/>
        <w:ind w:firstLine="480" w:firstLineChars="200"/>
        <w:jc w:val="center"/>
        <w:rPr>
          <w:rFonts w:hint="eastAsia"/>
          <w:color w:val="auto"/>
          <w:sz w:val="24"/>
          <w:lang w:bidi="ar"/>
        </w:rPr>
      </w:pPr>
      <w:r>
        <w:rPr>
          <w:rFonts w:hint="eastAsia" w:cs="Times New Roman"/>
          <w:color w:val="000000"/>
          <w:sz w:val="24"/>
          <w:szCs w:val="24"/>
          <w:lang w:val="en-US" w:eastAsia="zh-CN"/>
        </w:rPr>
        <w:object>
          <v:shape id="_x0000_i1025" o:spt="75" type="#_x0000_t75" style="height:455.85pt;width:430.5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r>
        <w:rPr>
          <w:rFonts w:hint="default" w:ascii="Times New Roman" w:hAnsi="Times New Roman" w:eastAsia="宋体" w:cs="Times New Roman"/>
          <w:b/>
          <w:kern w:val="2"/>
          <w:sz w:val="24"/>
          <w:szCs w:val="24"/>
          <w:u w:val="single" w:color="FFFFFF"/>
          <w:lang w:val="en-US" w:eastAsia="zh-CN" w:bidi="ar-SA"/>
        </w:rPr>
        <w:t>图</w:t>
      </w:r>
      <w:r>
        <w:rPr>
          <w:rFonts w:hint="eastAsia" w:ascii="Times New Roman" w:hAnsi="Times New Roman" w:eastAsia="宋体" w:cs="Times New Roman"/>
          <w:b/>
          <w:kern w:val="2"/>
          <w:sz w:val="24"/>
          <w:szCs w:val="24"/>
          <w:u w:val="single" w:color="FFFFFF"/>
          <w:lang w:val="en-US" w:eastAsia="zh-CN" w:bidi="ar-SA"/>
        </w:rPr>
        <w:t>3-2污水处理站</w:t>
      </w:r>
      <w:r>
        <w:rPr>
          <w:rFonts w:hint="default" w:ascii="Times New Roman" w:hAnsi="Times New Roman" w:eastAsia="宋体" w:cs="Times New Roman"/>
          <w:b/>
          <w:kern w:val="2"/>
          <w:sz w:val="24"/>
          <w:szCs w:val="24"/>
          <w:u w:val="single" w:color="FFFFFF"/>
          <w:lang w:val="en-US" w:eastAsia="zh-CN" w:bidi="ar-SA"/>
        </w:rPr>
        <w:t>废水处理工艺流程图</w:t>
      </w:r>
    </w:p>
    <w:p w14:paraId="751840CA">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（二）废气</w:t>
      </w:r>
    </w:p>
    <w:p w14:paraId="50D7F1A4">
      <w:pPr>
        <w:pStyle w:val="6"/>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废气处理设施详见下表。</w:t>
      </w:r>
    </w:p>
    <w:p w14:paraId="116320B1">
      <w:pPr>
        <w:pStyle w:val="25"/>
        <w:spacing w:line="360" w:lineRule="auto"/>
        <w:ind w:firstLine="482" w:firstLineChars="200"/>
        <w:jc w:val="center"/>
        <w:rPr>
          <w:rFonts w:hint="default" w:ascii="Times New Roman" w:hAnsi="Times New Roman" w:eastAsia="宋体" w:cs="Times New Roman"/>
          <w:b/>
          <w:color w:val="auto"/>
          <w:kern w:val="2"/>
          <w:sz w:val="24"/>
          <w:szCs w:val="24"/>
          <w:u w:val="single" w:color="FFFFFF"/>
          <w:lang w:val="en-US" w:eastAsia="zh-CN" w:bidi="ar-SA"/>
        </w:rPr>
      </w:pPr>
      <w:r>
        <w:rPr>
          <w:rFonts w:hint="eastAsia" w:ascii="Times New Roman" w:hAnsi="Times New Roman" w:eastAsia="宋体" w:cs="Times New Roman"/>
          <w:b/>
          <w:color w:val="auto"/>
          <w:kern w:val="2"/>
          <w:sz w:val="24"/>
          <w:szCs w:val="24"/>
          <w:u w:val="single" w:color="FFFFFF"/>
          <w:lang w:val="en-US" w:eastAsia="zh-CN" w:bidi="ar-SA"/>
        </w:rPr>
        <w:t>表3 废气处理措施一览表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99"/>
        <w:gridCol w:w="1722"/>
        <w:gridCol w:w="2153"/>
        <w:gridCol w:w="2370"/>
      </w:tblGrid>
      <w:tr w14:paraId="7730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52FC3D">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类型</w:t>
            </w:r>
          </w:p>
        </w:tc>
        <w:tc>
          <w:tcPr>
            <w:tcW w:w="93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6A5AC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污染源</w:t>
            </w:r>
          </w:p>
        </w:tc>
        <w:tc>
          <w:tcPr>
            <w:tcW w:w="10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B8532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污染因子</w:t>
            </w:r>
          </w:p>
        </w:tc>
        <w:tc>
          <w:tcPr>
            <w:tcW w:w="12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F9CCCA">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防治措施</w:t>
            </w:r>
          </w:p>
        </w:tc>
        <w:tc>
          <w:tcPr>
            <w:tcW w:w="1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22071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实际防治措施</w:t>
            </w:r>
          </w:p>
        </w:tc>
      </w:tr>
      <w:tr w14:paraId="23D6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1B6DD50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废气</w:t>
            </w:r>
          </w:p>
        </w:tc>
        <w:tc>
          <w:tcPr>
            <w:tcW w:w="93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43664D">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102车间工艺废气、甲醇清洗废气排放口</w:t>
            </w:r>
          </w:p>
        </w:tc>
        <w:tc>
          <w:tcPr>
            <w:tcW w:w="10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8C09C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非甲烷总烃</w:t>
            </w:r>
          </w:p>
        </w:tc>
        <w:tc>
          <w:tcPr>
            <w:tcW w:w="12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D37857">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二级活性炭吸附</w:t>
            </w:r>
            <w:r>
              <w:rPr>
                <w:rFonts w:hint="eastAsia" w:ascii="Times New Roman" w:hAnsi="Times New Roman" w:eastAsia="宋体" w:cs="Times New Roman"/>
                <w:color w:val="auto"/>
                <w:sz w:val="21"/>
                <w:szCs w:val="21"/>
              </w:rPr>
              <w:t>+25m排气筒排放</w:t>
            </w:r>
          </w:p>
        </w:tc>
        <w:tc>
          <w:tcPr>
            <w:tcW w:w="1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53DC1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水喷淋+一级碱洗喷淋塔+干燥+一级活性炭吸附+25m排气筒排放</w:t>
            </w:r>
          </w:p>
        </w:tc>
      </w:tr>
      <w:tr w14:paraId="04C0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738739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p>
        </w:tc>
        <w:tc>
          <w:tcPr>
            <w:tcW w:w="93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32B84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罐区废气及</w:t>
            </w:r>
            <w:r>
              <w:rPr>
                <w:rFonts w:hint="eastAsia" w:ascii="Times New Roman" w:hAnsi="Times New Roman" w:eastAsia="宋体" w:cs="Times New Roman"/>
                <w:color w:val="auto"/>
                <w:sz w:val="21"/>
                <w:szCs w:val="21"/>
              </w:rPr>
              <w:t>危废库废气</w:t>
            </w:r>
          </w:p>
        </w:tc>
        <w:tc>
          <w:tcPr>
            <w:tcW w:w="10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E892CD">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非甲烷总烃</w:t>
            </w:r>
          </w:p>
        </w:tc>
        <w:tc>
          <w:tcPr>
            <w:tcW w:w="12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5F19E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二级活性炭吸附+25m排气筒排放</w:t>
            </w:r>
          </w:p>
        </w:tc>
        <w:tc>
          <w:tcPr>
            <w:tcW w:w="1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F00A73">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二级活性炭吸附+25m排气筒排放</w:t>
            </w:r>
          </w:p>
        </w:tc>
      </w:tr>
      <w:tr w14:paraId="1C7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DE9CAE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污水处理站废气</w:t>
            </w:r>
          </w:p>
        </w:tc>
        <w:tc>
          <w:tcPr>
            <w:tcW w:w="93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16516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污水处理站废气</w:t>
            </w:r>
          </w:p>
        </w:tc>
        <w:tc>
          <w:tcPr>
            <w:tcW w:w="10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F3C09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硫化氢、氨、臭气浓度</w:t>
            </w:r>
            <w:r>
              <w:rPr>
                <w:rFonts w:hint="eastAsia" w:cs="Times New Roman"/>
                <w:color w:val="auto"/>
                <w:sz w:val="21"/>
                <w:szCs w:val="21"/>
                <w:lang w:val="en-US" w:eastAsia="zh-CN"/>
              </w:rPr>
              <w:t>、</w:t>
            </w:r>
            <w:r>
              <w:rPr>
                <w:rFonts w:hint="eastAsia" w:ascii="Times New Roman" w:hAnsi="Times New Roman" w:eastAsia="宋体" w:cs="Times New Roman"/>
                <w:color w:val="auto"/>
                <w:sz w:val="21"/>
                <w:szCs w:val="21"/>
              </w:rPr>
              <w:t>非甲烷总烃</w:t>
            </w:r>
          </w:p>
        </w:tc>
        <w:tc>
          <w:tcPr>
            <w:tcW w:w="12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78979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碱洗喷淋塔+生物滤池+25m排气筒排放</w:t>
            </w:r>
          </w:p>
        </w:tc>
        <w:tc>
          <w:tcPr>
            <w:tcW w:w="1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60A3ED">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碱洗喷淋塔+生物滤池+25m排气筒排放</w:t>
            </w:r>
          </w:p>
        </w:tc>
      </w:tr>
      <w:tr w14:paraId="6A14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167284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p>
        </w:tc>
        <w:tc>
          <w:tcPr>
            <w:tcW w:w="93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4EF9E4">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生产废气</w:t>
            </w:r>
          </w:p>
          <w:p w14:paraId="1AFF3B39">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（无组织）</w:t>
            </w:r>
          </w:p>
        </w:tc>
        <w:tc>
          <w:tcPr>
            <w:tcW w:w="10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DEC3C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非甲烷总烃、颗粒物</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氨、硫化氢、臭气浓度</w:t>
            </w:r>
          </w:p>
        </w:tc>
        <w:tc>
          <w:tcPr>
            <w:tcW w:w="126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2E28B36">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滤芯过滤器、加强车间机械排风和自然通风等</w:t>
            </w:r>
          </w:p>
        </w:tc>
        <w:tc>
          <w:tcPr>
            <w:tcW w:w="1390" w:type="pct"/>
            <w:vMerge w:val="restart"/>
            <w:tcBorders>
              <w:top w:val="single" w:color="auto" w:sz="4" w:space="0"/>
              <w:left w:val="single" w:color="auto" w:sz="4" w:space="0"/>
              <w:right w:val="single" w:color="auto" w:sz="4" w:space="0"/>
              <w:tl2br w:val="nil"/>
              <w:tr2bl w:val="nil"/>
            </w:tcBorders>
            <w:noWrap w:val="0"/>
            <w:vAlign w:val="center"/>
          </w:tcPr>
          <w:p w14:paraId="05BABCB1">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rPr>
              <w:t>滤芯过滤器、加强车间机械排风和自然通风等</w:t>
            </w:r>
          </w:p>
        </w:tc>
      </w:tr>
      <w:tr w14:paraId="229B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EC30092">
            <w:pPr>
              <w:pStyle w:val="6"/>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sz w:val="21"/>
                <w:szCs w:val="21"/>
              </w:rPr>
            </w:pPr>
          </w:p>
        </w:tc>
        <w:tc>
          <w:tcPr>
            <w:tcW w:w="93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50F7F5">
            <w:pPr>
              <w:pStyle w:val="6"/>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sz w:val="21"/>
                <w:szCs w:val="21"/>
              </w:rPr>
            </w:pPr>
            <w:r>
              <w:rPr>
                <w:rFonts w:hint="eastAsia"/>
                <w:sz w:val="21"/>
                <w:szCs w:val="21"/>
              </w:rPr>
              <w:t>厂内无组织</w:t>
            </w:r>
          </w:p>
        </w:tc>
        <w:tc>
          <w:tcPr>
            <w:tcW w:w="101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C2014F">
            <w:pPr>
              <w:pStyle w:val="6"/>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sz w:val="21"/>
                <w:szCs w:val="21"/>
              </w:rPr>
            </w:pPr>
            <w:r>
              <w:rPr>
                <w:rFonts w:hint="eastAsia"/>
                <w:sz w:val="21"/>
                <w:szCs w:val="21"/>
              </w:rPr>
              <w:t>非甲烷总烃</w:t>
            </w:r>
          </w:p>
        </w:tc>
        <w:tc>
          <w:tcPr>
            <w:tcW w:w="126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4D8F2B4">
            <w:pPr>
              <w:pStyle w:val="6"/>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sz w:val="21"/>
                <w:szCs w:val="21"/>
              </w:rPr>
            </w:pPr>
          </w:p>
        </w:tc>
        <w:tc>
          <w:tcPr>
            <w:tcW w:w="1390" w:type="pct"/>
            <w:vMerge w:val="continue"/>
            <w:tcBorders>
              <w:left w:val="single" w:color="auto" w:sz="4" w:space="0"/>
              <w:bottom w:val="single" w:color="auto" w:sz="4" w:space="0"/>
              <w:right w:val="single" w:color="auto" w:sz="4" w:space="0"/>
              <w:tl2br w:val="nil"/>
              <w:tr2bl w:val="nil"/>
            </w:tcBorders>
            <w:noWrap w:val="0"/>
            <w:vAlign w:val="center"/>
          </w:tcPr>
          <w:p w14:paraId="4A31CDCB">
            <w:pPr>
              <w:pStyle w:val="30"/>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color w:val="auto"/>
                <w:kern w:val="0"/>
                <w:sz w:val="21"/>
                <w:szCs w:val="21"/>
              </w:rPr>
            </w:pPr>
          </w:p>
        </w:tc>
      </w:tr>
    </w:tbl>
    <w:p w14:paraId="443E1726">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（三）噪声</w:t>
      </w:r>
    </w:p>
    <w:p w14:paraId="4EF84D43">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val="en-US" w:eastAsia="zh-CN"/>
        </w:rPr>
        <w:t>项目噪声主要为机械设备运行时产生的噪声，本公司对各类产噪设备进行合理布局、高噪声设备加装减振基础，减少噪声外扬、加强设备保养，确保正常运行，</w:t>
      </w:r>
      <w:r>
        <w:rPr>
          <w:rFonts w:hint="default" w:ascii="Times New Roman" w:hAnsi="Times New Roman" w:eastAsia="宋体" w:cs="Times New Roman"/>
          <w:sz w:val="24"/>
          <w:szCs w:val="24"/>
          <w:highlight w:val="none"/>
          <w:lang w:eastAsia="zh-CN"/>
        </w:rPr>
        <w:t>噪声排放需满足《工业企业厂界环境噪声排放标准》(GB12348-2008)中3类标准</w:t>
      </w:r>
      <w:r>
        <w:rPr>
          <w:rFonts w:hint="eastAsia" w:ascii="Times New Roman" w:hAnsi="Times New Roman" w:eastAsia="宋体" w:cs="Times New Roman"/>
          <w:sz w:val="24"/>
          <w:szCs w:val="24"/>
          <w:highlight w:val="none"/>
          <w:lang w:eastAsia="zh-CN"/>
        </w:rPr>
        <w:t>。</w:t>
      </w:r>
    </w:p>
    <w:p w14:paraId="34E837EB">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（四）固体废物</w:t>
      </w:r>
    </w:p>
    <w:p w14:paraId="5659C605">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职工生活垃圾收集后统一交由环卫部门处理；废包材（一般固废）外售给资源回收单位；废包材（危险废物）、废活性炭、废</w:t>
      </w:r>
      <w:r>
        <w:rPr>
          <w:rFonts w:hint="eastAsia" w:ascii="Times New Roman" w:hAnsi="Times New Roman" w:eastAsia="宋体" w:cs="Times New Roman"/>
          <w:sz w:val="24"/>
          <w:szCs w:val="24"/>
          <w:highlight w:val="none"/>
          <w:lang w:val="en-US" w:eastAsia="zh-CN"/>
        </w:rPr>
        <w:t>DMC</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废甲醇、</w:t>
      </w:r>
      <w:r>
        <w:rPr>
          <w:rFonts w:hint="eastAsia" w:ascii="Times New Roman" w:hAnsi="Times New Roman" w:eastAsia="宋体" w:cs="Times New Roman"/>
          <w:sz w:val="24"/>
          <w:szCs w:val="24"/>
          <w:highlight w:val="none"/>
          <w:lang w:eastAsia="zh-CN"/>
        </w:rPr>
        <w:t>污水处理站污泥、废润滑油交由安徽省创美环保科技有限公司处置。</w:t>
      </w:r>
    </w:p>
    <w:p w14:paraId="395DF4D3">
      <w:pPr>
        <w:pStyle w:val="23"/>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四、环境保护设施调试效果</w:t>
      </w:r>
    </w:p>
    <w:p w14:paraId="53D649B3">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eastAsia="zh-CN"/>
        </w:rPr>
        <w:t>）废气</w:t>
      </w:r>
    </w:p>
    <w:p w14:paraId="46477D44">
      <w:pPr>
        <w:pStyle w:val="6"/>
        <w:spacing w:before="0" w:line="360" w:lineRule="auto"/>
        <w:ind w:firstLine="480"/>
        <w:rPr>
          <w:rFonts w:hint="eastAsia" w:ascii="Times New Roman" w:hAnsi="Times New Roman" w:eastAsia="宋体" w:cs="Times New Roman"/>
          <w:sz w:val="24"/>
          <w:szCs w:val="24"/>
          <w:highlight w:val="none"/>
          <w:lang w:val="en-US" w:eastAsia="zh-CN"/>
        </w:rPr>
      </w:pPr>
      <w:bookmarkStart w:id="0" w:name="_Hlk35549413"/>
      <w:r>
        <w:rPr>
          <w:rFonts w:hint="eastAsia" w:ascii="Times New Roman" w:hAnsi="Times New Roman" w:eastAsia="宋体" w:cs="Times New Roman"/>
          <w:sz w:val="24"/>
          <w:szCs w:val="24"/>
          <w:highlight w:val="none"/>
          <w:lang w:val="en-US" w:eastAsia="zh-CN"/>
        </w:rPr>
        <w:t>根据本次竣工验收检测，废气满足</w:t>
      </w:r>
      <w:r>
        <w:rPr>
          <w:rFonts w:hint="default" w:ascii="Times New Roman" w:hAnsi="Times New Roman" w:eastAsia="宋体" w:cs="Times New Roman"/>
          <w:sz w:val="24"/>
          <w:szCs w:val="24"/>
          <w:highlight w:val="none"/>
          <w:lang w:val="en-US" w:eastAsia="zh-CN"/>
        </w:rPr>
        <w:t>《合成树脂工业污染物排放标准》（GB31572-2015）及2024年修改单、《固定源挥发性有机物综合排放标准第6部分：其他工业》、《恶臭污染物排放标准》（GB14554-93）</w:t>
      </w:r>
      <w:r>
        <w:rPr>
          <w:rFonts w:hint="eastAsia" w:ascii="Times New Roman" w:hAnsi="Times New Roman" w:eastAsia="宋体" w:cs="Times New Roman"/>
          <w:sz w:val="24"/>
          <w:szCs w:val="24"/>
          <w:highlight w:val="none"/>
          <w:lang w:val="en-US" w:eastAsia="zh-CN"/>
        </w:rPr>
        <w:t>。</w:t>
      </w:r>
    </w:p>
    <w:p w14:paraId="3505DBF6">
      <w:pPr>
        <w:keepNext w:val="0"/>
        <w:keepLines w:val="0"/>
        <w:widowControl w:val="0"/>
        <w:suppressLineNumbers w:val="0"/>
        <w:spacing w:before="0" w:beforeAutospacing="0" w:after="0" w:afterAutospacing="0" w:line="440" w:lineRule="exact"/>
        <w:ind w:left="0" w:right="0" w:firstLine="480" w:firstLineChars="200"/>
        <w:jc w:val="left"/>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根据本次验收监测，项目产生的工艺废气（</w:t>
      </w:r>
      <w:r>
        <w:rPr>
          <w:rFonts w:hint="eastAsia" w:ascii="Times New Roman" w:hAnsi="Times New Roman" w:eastAsia="宋体" w:cs="Times New Roman"/>
          <w:sz w:val="24"/>
          <w:szCs w:val="24"/>
          <w:highlight w:val="none"/>
          <w:lang w:val="en-US" w:eastAsia="zh-CN"/>
        </w:rPr>
        <w:t>碳酸二甲酯、甲醇</w:t>
      </w:r>
      <w:r>
        <w:rPr>
          <w:rFonts w:hint="default" w:ascii="Times New Roman" w:hAnsi="Times New Roman" w:eastAsia="宋体" w:cs="Times New Roman"/>
          <w:sz w:val="24"/>
          <w:szCs w:val="24"/>
          <w:highlight w:val="none"/>
          <w:lang w:val="en-US" w:eastAsia="zh-CN"/>
        </w:rPr>
        <w:t>，以非甲烷总烃计）执行《固定源挥发性有机物综合排放标准第5部分：电子工业》（DB34/4812.5-2024）中表1挥发性有机物基本污染物项目排放限值</w:t>
      </w:r>
      <w:r>
        <w:rPr>
          <w:rFonts w:hint="eastAsia" w:ascii="Times New Roman" w:hAnsi="Times New Roman" w:eastAsia="宋体" w:cs="Times New Roman"/>
          <w:sz w:val="24"/>
          <w:szCs w:val="24"/>
          <w:highlight w:val="none"/>
          <w:lang w:val="en-US" w:eastAsia="zh-CN"/>
        </w:rPr>
        <w:t>；罐区DMC储罐产生的有机废气（以非甲烷总烃计）以及</w:t>
      </w:r>
      <w:r>
        <w:rPr>
          <w:rFonts w:hint="eastAsia" w:ascii="Times New Roman" w:hAnsi="Times New Roman" w:eastAsia="宋体" w:cs="Times New Roman"/>
          <w:sz w:val="24"/>
          <w:szCs w:val="24"/>
          <w:highlight w:val="none"/>
          <w:lang w:eastAsia="zh-CN"/>
        </w:rPr>
        <w:t>危废库产生的有机废气（</w:t>
      </w:r>
      <w:r>
        <w:rPr>
          <w:rFonts w:hint="eastAsia" w:ascii="Times New Roman" w:hAnsi="Times New Roman" w:eastAsia="宋体" w:cs="Times New Roman"/>
          <w:sz w:val="24"/>
          <w:szCs w:val="24"/>
          <w:highlight w:val="none"/>
          <w:lang w:val="en-US" w:eastAsia="zh-CN"/>
        </w:rPr>
        <w:t>以非甲烷总烃计</w:t>
      </w:r>
      <w:r>
        <w:rPr>
          <w:rFonts w:hint="eastAsia" w:ascii="Times New Roman" w:hAnsi="Times New Roman" w:eastAsia="宋体" w:cs="Times New Roman"/>
          <w:sz w:val="24"/>
          <w:szCs w:val="24"/>
          <w:highlight w:val="none"/>
          <w:lang w:eastAsia="zh-CN"/>
        </w:rPr>
        <w:t>）执行《大气污染物综合排放标准》（(GB16297-1996)中排放限值要求；</w:t>
      </w:r>
      <w:r>
        <w:rPr>
          <w:rFonts w:hint="default" w:ascii="Times New Roman" w:hAnsi="Times New Roman" w:eastAsia="宋体" w:cs="Times New Roman"/>
          <w:sz w:val="24"/>
          <w:szCs w:val="24"/>
          <w:highlight w:val="none"/>
          <w:lang w:val="en-US" w:eastAsia="zh-CN"/>
        </w:rPr>
        <w:t>污水处理站产生的恶臭废气（硫化氢、氨、臭气浓度）执行《恶臭污染物排放标准》（(GB14554-93)中排放限值要求</w:t>
      </w:r>
      <w:r>
        <w:rPr>
          <w:rFonts w:hint="eastAsia" w:cs="Times New Roman"/>
          <w:sz w:val="24"/>
          <w:szCs w:val="24"/>
          <w:highlight w:val="none"/>
          <w:lang w:val="en-US" w:eastAsia="zh-CN"/>
        </w:rPr>
        <w:t>，</w:t>
      </w:r>
      <w:r>
        <w:rPr>
          <w:rFonts w:hint="eastAsia" w:ascii="Times New Roman" w:hAnsi="Times New Roman" w:eastAsia="宋体" w:cs="Times New Roman"/>
          <w:kern w:val="0"/>
          <w:sz w:val="24"/>
          <w:szCs w:val="24"/>
          <w:lang w:val="en-US" w:eastAsia="zh-CN" w:bidi="ar"/>
        </w:rPr>
        <w:t>非甲烷总烃执行《固定源挥发性有机物综合排放标准第3部分：有机化学品制造工业》（DB34/4812.3-2024）</w:t>
      </w:r>
      <w:r>
        <w:rPr>
          <w:rFonts w:hint="default" w:ascii="Times New Roman" w:hAnsi="Times New Roman" w:eastAsia="宋体" w:cs="Times New Roman"/>
          <w:sz w:val="24"/>
          <w:szCs w:val="24"/>
          <w:highlight w:val="none"/>
          <w:lang w:val="en-US" w:eastAsia="zh-CN"/>
        </w:rPr>
        <w:t>。</w:t>
      </w:r>
    </w:p>
    <w:p w14:paraId="6DA299FF">
      <w:pPr>
        <w:pStyle w:val="6"/>
        <w:spacing w:before="0" w:line="360" w:lineRule="auto"/>
        <w:ind w:firstLine="48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根据监测结果，</w:t>
      </w:r>
      <w:r>
        <w:rPr>
          <w:rFonts w:hint="default" w:ascii="Times New Roman" w:hAnsi="Times New Roman" w:eastAsia="宋体" w:cs="Times New Roman"/>
          <w:sz w:val="24"/>
          <w:szCs w:val="24"/>
          <w:highlight w:val="none"/>
          <w:lang w:val="en-US" w:eastAsia="zh-CN"/>
        </w:rPr>
        <w:t>厂界无组织废气中颗粒物、非甲烷总烃执行大气污染物综合排放标准（GB16297-1996），硫化氢</w:t>
      </w:r>
      <w:r>
        <w:rPr>
          <w:rFonts w:hint="eastAsia" w:ascii="Times New Roman" w:hAnsi="Times New Roman" w:eastAsia="宋体" w:cs="Times New Roman"/>
          <w:sz w:val="24"/>
          <w:szCs w:val="24"/>
          <w:highlight w:val="none"/>
          <w:lang w:val="en-US" w:eastAsia="zh-CN"/>
        </w:rPr>
        <w:t>、氨、臭气浓度</w:t>
      </w:r>
      <w:r>
        <w:rPr>
          <w:rFonts w:hint="default" w:ascii="Times New Roman" w:hAnsi="Times New Roman" w:eastAsia="宋体" w:cs="Times New Roman"/>
          <w:sz w:val="24"/>
          <w:szCs w:val="24"/>
          <w:highlight w:val="none"/>
          <w:lang w:val="en-US" w:eastAsia="zh-CN"/>
        </w:rPr>
        <w:t>执行《恶臭污染物排放标准》（GB14554-</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lang w:val="en-US" w:eastAsia="zh-CN"/>
        </w:rPr>
        <w:t>93）。</w:t>
      </w:r>
    </w:p>
    <w:p w14:paraId="5EF467A0">
      <w:pPr>
        <w:pStyle w:val="6"/>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厂区内非甲烷总烃无组织排放执行《固定源挥发性有机物综合排放标准第</w:t>
      </w:r>
      <w:r>
        <w:rPr>
          <w:rFonts w:hint="default"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lang w:val="en-US" w:eastAsia="zh-CN"/>
        </w:rPr>
        <w:t>部分：电子工业》（</w:t>
      </w:r>
      <w:r>
        <w:rPr>
          <w:rFonts w:hint="default" w:ascii="Times New Roman" w:hAnsi="Times New Roman" w:eastAsia="宋体" w:cs="Times New Roman"/>
          <w:sz w:val="24"/>
          <w:szCs w:val="24"/>
          <w:highlight w:val="none"/>
          <w:lang w:val="en-US" w:eastAsia="zh-CN"/>
        </w:rPr>
        <w:t>DB34/4812.5-2024</w:t>
      </w:r>
      <w:r>
        <w:rPr>
          <w:rFonts w:hint="eastAsia" w:ascii="Times New Roman" w:hAnsi="Times New Roman" w:eastAsia="宋体" w:cs="Times New Roman"/>
          <w:sz w:val="24"/>
          <w:szCs w:val="24"/>
          <w:highlight w:val="none"/>
          <w:lang w:val="en-US" w:eastAsia="zh-CN"/>
        </w:rPr>
        <w:t>）表</w:t>
      </w:r>
      <w:r>
        <w:rPr>
          <w:rFonts w:hint="default" w:ascii="Times New Roman" w:hAnsi="Times New Roman" w:eastAsia="宋体" w:cs="Times New Roman"/>
          <w:sz w:val="24"/>
          <w:szCs w:val="24"/>
          <w:highlight w:val="none"/>
          <w:lang w:val="en-US" w:eastAsia="zh-CN"/>
        </w:rPr>
        <w:t>3</w:t>
      </w:r>
      <w:r>
        <w:rPr>
          <w:rFonts w:hint="eastAsia" w:ascii="Times New Roman" w:hAnsi="Times New Roman" w:eastAsia="宋体" w:cs="Times New Roman"/>
          <w:sz w:val="24"/>
          <w:szCs w:val="24"/>
          <w:highlight w:val="none"/>
          <w:lang w:val="en-US" w:eastAsia="zh-CN"/>
        </w:rPr>
        <w:t>厂区内</w:t>
      </w:r>
      <w:r>
        <w:rPr>
          <w:rFonts w:hint="default" w:ascii="Times New Roman" w:hAnsi="Times New Roman" w:eastAsia="宋体" w:cs="Times New Roman"/>
          <w:sz w:val="24"/>
          <w:szCs w:val="24"/>
          <w:highlight w:val="none"/>
          <w:lang w:val="en-US" w:eastAsia="zh-CN"/>
        </w:rPr>
        <w:t>VOCs</w:t>
      </w:r>
      <w:r>
        <w:rPr>
          <w:rFonts w:hint="eastAsia" w:ascii="Times New Roman" w:hAnsi="Times New Roman" w:eastAsia="宋体" w:cs="Times New Roman"/>
          <w:sz w:val="24"/>
          <w:szCs w:val="24"/>
          <w:highlight w:val="none"/>
          <w:lang w:val="en-US" w:eastAsia="zh-CN"/>
        </w:rPr>
        <w:t>无组织排放限值。</w:t>
      </w:r>
    </w:p>
    <w:p w14:paraId="7905B9E5">
      <w:pPr>
        <w:spacing w:line="360" w:lineRule="auto"/>
        <w:ind w:firstLine="480" w:firstLineChars="200"/>
        <w:rPr>
          <w:rFonts w:hint="eastAsia"/>
          <w:bCs/>
          <w:color w:val="auto"/>
          <w:sz w:val="24"/>
        </w:rPr>
      </w:pPr>
    </w:p>
    <w:p w14:paraId="0D6DABEF">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eastAsia="zh-CN"/>
        </w:rPr>
        <w:t>）厂界噪声</w:t>
      </w:r>
    </w:p>
    <w:bookmarkEnd w:id="0"/>
    <w:p w14:paraId="1198E78B">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验收监测期间，</w:t>
      </w:r>
      <w:r>
        <w:rPr>
          <w:rFonts w:hint="default" w:ascii="Times New Roman" w:hAnsi="Times New Roman" w:eastAsia="宋体" w:cs="Times New Roman"/>
          <w:kern w:val="0"/>
          <w:sz w:val="24"/>
          <w:szCs w:val="24"/>
          <w:lang w:val="en-US" w:eastAsia="zh-CN" w:bidi="ar"/>
        </w:rPr>
        <w:t>除南侧厂界因施工无法进入未测外，其他厂界昼间和夜间噪声监测结果均未超过《工业企业厂界环境噪声排放标准》（GB12348-2008）中3类区标准限值，为达标排放</w:t>
      </w:r>
      <w:r>
        <w:rPr>
          <w:rFonts w:hint="eastAsia" w:ascii="Times New Roman" w:hAnsi="Times New Roman" w:eastAsia="宋体" w:cs="Times New Roman"/>
          <w:sz w:val="24"/>
          <w:szCs w:val="24"/>
          <w:highlight w:val="none"/>
          <w:lang w:eastAsia="zh-CN"/>
        </w:rPr>
        <w:t>。</w:t>
      </w:r>
    </w:p>
    <w:p w14:paraId="71FD7551">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（四）固体废物</w:t>
      </w:r>
    </w:p>
    <w:p w14:paraId="5FA4F302">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职工生活垃圾收集后统一交由环卫部门处理；废包材（一般固废）外售给资源回收单位；废包材（危险废物）、废活性炭、废</w:t>
      </w:r>
      <w:r>
        <w:rPr>
          <w:rFonts w:hint="eastAsia" w:ascii="Times New Roman" w:hAnsi="Times New Roman" w:eastAsia="宋体" w:cs="Times New Roman"/>
          <w:sz w:val="24"/>
          <w:szCs w:val="24"/>
          <w:highlight w:val="none"/>
          <w:lang w:val="en-US" w:eastAsia="zh-CN"/>
        </w:rPr>
        <w:t>DMC</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废甲醇、</w:t>
      </w:r>
      <w:r>
        <w:rPr>
          <w:rFonts w:hint="eastAsia" w:ascii="Times New Roman" w:hAnsi="Times New Roman" w:eastAsia="宋体" w:cs="Times New Roman"/>
          <w:sz w:val="24"/>
          <w:szCs w:val="24"/>
          <w:highlight w:val="none"/>
          <w:lang w:eastAsia="zh-CN"/>
        </w:rPr>
        <w:t>污水处理站污泥、废润滑油交由安徽省创美环保科技有限公司处置。</w:t>
      </w:r>
    </w:p>
    <w:p w14:paraId="28813772">
      <w:pPr>
        <w:pStyle w:val="6"/>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废水</w:t>
      </w:r>
    </w:p>
    <w:p w14:paraId="3F371DE6">
      <w:pPr>
        <w:pStyle w:val="6"/>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根据本次验收检测，</w:t>
      </w:r>
      <w:r>
        <w:rPr>
          <w:rFonts w:hint="default" w:ascii="Times New Roman" w:hAnsi="Times New Roman" w:eastAsia="宋体" w:cs="Times New Roman"/>
          <w:sz w:val="24"/>
          <w:szCs w:val="24"/>
          <w:highlight w:val="none"/>
          <w:lang w:val="en-US" w:eastAsia="zh-CN"/>
        </w:rPr>
        <w:t>废水经厂区污水站处理</w:t>
      </w:r>
      <w:r>
        <w:rPr>
          <w:rFonts w:hint="eastAsia" w:ascii="Times New Roman" w:hAnsi="Times New Roman" w:eastAsia="宋体" w:cs="Times New Roman"/>
          <w:sz w:val="24"/>
          <w:szCs w:val="24"/>
          <w:highlight w:val="none"/>
          <w:lang w:val="en-US" w:eastAsia="zh-CN"/>
        </w:rPr>
        <w:t>后，</w:t>
      </w:r>
      <w:r>
        <w:rPr>
          <w:rFonts w:hint="eastAsia" w:ascii="Times New Roman" w:hAnsi="Times New Roman" w:eastAsia="宋体" w:cs="Times New Roman"/>
          <w:sz w:val="24"/>
          <w:szCs w:val="24"/>
          <w:highlight w:val="none"/>
          <w:lang w:eastAsia="zh-CN"/>
        </w:rPr>
        <w:t>废水</w:t>
      </w:r>
      <w:r>
        <w:rPr>
          <w:rFonts w:hint="eastAsia" w:ascii="Times New Roman" w:hAnsi="Times New Roman" w:eastAsia="宋体" w:cs="Times New Roman"/>
          <w:sz w:val="24"/>
          <w:szCs w:val="24"/>
          <w:highlight w:val="none"/>
          <w:lang w:val="en-US" w:eastAsia="zh-CN"/>
        </w:rPr>
        <w:t>满足与</w:t>
      </w:r>
      <w:r>
        <w:rPr>
          <w:rFonts w:hint="default" w:ascii="Times New Roman" w:hAnsi="Times New Roman" w:eastAsia="宋体" w:cs="Times New Roman"/>
          <w:sz w:val="24"/>
          <w:szCs w:val="24"/>
          <w:highlight w:val="none"/>
          <w:lang w:val="en-US" w:eastAsia="zh-CN"/>
        </w:rPr>
        <w:t>安庆亚同城西污水厂</w:t>
      </w:r>
      <w:r>
        <w:rPr>
          <w:rFonts w:hint="eastAsia"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lang w:val="en-US" w:eastAsia="zh-CN"/>
        </w:rPr>
        <w:t>接管协议标准值。</w:t>
      </w:r>
    </w:p>
    <w:p w14:paraId="0864DEC4">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六</w:t>
      </w:r>
      <w:r>
        <w:rPr>
          <w:rFonts w:hint="eastAsia" w:ascii="Times New Roman" w:hAnsi="Times New Roman" w:eastAsia="宋体" w:cs="Times New Roman"/>
          <w:sz w:val="24"/>
          <w:szCs w:val="24"/>
          <w:highlight w:val="none"/>
          <w:lang w:eastAsia="zh-CN"/>
        </w:rPr>
        <w:t>）总量控制</w:t>
      </w:r>
    </w:p>
    <w:p w14:paraId="720F3087">
      <w:pPr>
        <w:pStyle w:val="6"/>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根据本次验收监测，</w:t>
      </w:r>
      <w:r>
        <w:rPr>
          <w:rFonts w:hint="eastAsia" w:ascii="Times New Roman" w:hAnsi="Times New Roman" w:eastAsia="宋体" w:cs="Times New Roman"/>
          <w:sz w:val="24"/>
          <w:szCs w:val="24"/>
          <w:highlight w:val="none"/>
          <w:lang w:val="en-US" w:eastAsia="zh-CN"/>
        </w:rPr>
        <w:t>非甲烷总烃</w:t>
      </w:r>
      <w:r>
        <w:rPr>
          <w:rFonts w:hint="eastAsia" w:ascii="Times New Roman" w:hAnsi="Times New Roman" w:eastAsia="宋体" w:cs="Times New Roman"/>
          <w:sz w:val="24"/>
          <w:szCs w:val="24"/>
          <w:highlight w:val="none"/>
          <w:lang w:eastAsia="zh-CN"/>
        </w:rPr>
        <w:t>排放总量为</w:t>
      </w:r>
      <w:r>
        <w:rPr>
          <w:rFonts w:hint="eastAsia" w:ascii="Times New Roman" w:hAnsi="Times New Roman" w:eastAsia="宋体" w:cs="Times New Roman"/>
          <w:sz w:val="24"/>
          <w:szCs w:val="24"/>
          <w:highlight w:val="none"/>
          <w:lang w:val="en-US" w:eastAsia="zh-CN"/>
        </w:rPr>
        <w:t>1.683</w:t>
      </w:r>
      <w:r>
        <w:rPr>
          <w:rFonts w:hint="eastAsia" w:ascii="Times New Roman" w:hAnsi="Times New Roman" w:eastAsia="宋体" w:cs="Times New Roman"/>
          <w:sz w:val="24"/>
          <w:szCs w:val="24"/>
          <w:highlight w:val="none"/>
          <w:lang w:eastAsia="zh-CN"/>
        </w:rPr>
        <w:t>t/a，未超过环评核定总量</w:t>
      </w:r>
      <w:r>
        <w:rPr>
          <w:rFonts w:hint="eastAsia" w:ascii="Times New Roman" w:hAnsi="Times New Roman" w:eastAsia="宋体" w:cs="Times New Roman"/>
          <w:sz w:val="24"/>
          <w:szCs w:val="24"/>
          <w:highlight w:val="none"/>
          <w:lang w:val="en-US" w:eastAsia="zh-CN"/>
        </w:rPr>
        <w:t>32.234</w:t>
      </w:r>
      <w:r>
        <w:rPr>
          <w:rFonts w:hint="eastAsia" w:ascii="Times New Roman" w:hAnsi="Times New Roman" w:eastAsia="宋体" w:cs="Times New Roman"/>
          <w:sz w:val="24"/>
          <w:szCs w:val="24"/>
          <w:highlight w:val="none"/>
          <w:lang w:eastAsia="zh-CN"/>
        </w:rPr>
        <w:t>t/a</w:t>
      </w:r>
      <w:r>
        <w:rPr>
          <w:rFonts w:hint="eastAsia" w:ascii="Times New Roman" w:hAnsi="Times New Roman" w:eastAsia="宋体" w:cs="Times New Roman"/>
          <w:sz w:val="24"/>
          <w:szCs w:val="24"/>
          <w:highlight w:val="none"/>
          <w:lang w:val="en-US" w:eastAsia="zh-CN"/>
        </w:rPr>
        <w:t>。COD的总量为0.390t/a，未超过环评核定总量的9.714t/a；氨氮的总量为0.887t/a，未超过环评核定总量的0.973t/a。</w:t>
      </w:r>
    </w:p>
    <w:p w14:paraId="7FE17C4A">
      <w:pPr>
        <w:pStyle w:val="23"/>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五、验收结论</w:t>
      </w:r>
    </w:p>
    <w:p w14:paraId="1285423E">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对照《建设项目竣工环境保护验收暂行办法》，本项目不存在《建设项目竣工环境保护验收暂行办法》中所规定的九类验收不合格情形，项目基本具备竣工环境保护验收条件，验收合格。</w:t>
      </w:r>
    </w:p>
    <w:p w14:paraId="691CC781">
      <w:pPr>
        <w:pStyle w:val="23"/>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六</w:t>
      </w:r>
      <w:r>
        <w:rPr>
          <w:rFonts w:hint="eastAsia" w:ascii="宋体" w:hAnsi="宋体" w:eastAsia="宋体" w:cs="宋体"/>
          <w:b/>
          <w:color w:val="auto"/>
          <w:sz w:val="28"/>
          <w:szCs w:val="28"/>
        </w:rPr>
        <w:t>、后续要求</w:t>
      </w:r>
    </w:p>
    <w:p w14:paraId="13C9B260">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1．企业按以上要求完善后并在切实落实项目环评及批复、国家法律法规及相关验收要求基础上，建议通过竣工环境保护验收。</w:t>
      </w:r>
    </w:p>
    <w:p w14:paraId="15371098">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2．企业应进一步完善各项环境保护规章制度和环境保护基础台账、档案及运行记录，制定环保设施操作规程，明确各岗位环保责任，加强环保设施安全管理，强化日常运行监管。</w:t>
      </w:r>
    </w:p>
    <w:p w14:paraId="147E3BDF">
      <w:pPr>
        <w:pStyle w:val="23"/>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七</w:t>
      </w:r>
      <w:r>
        <w:rPr>
          <w:rFonts w:hint="eastAsia" w:ascii="宋体" w:hAnsi="宋体" w:eastAsia="宋体" w:cs="宋体"/>
          <w:b/>
          <w:color w:val="auto"/>
          <w:sz w:val="28"/>
          <w:szCs w:val="28"/>
        </w:rPr>
        <w:t>、验收人员信息</w:t>
      </w:r>
    </w:p>
    <w:p w14:paraId="5966F747">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本项目竣工环保验收工作组成员见下表。</w:t>
      </w:r>
    </w:p>
    <w:p w14:paraId="1FAEADF4">
      <w:pPr>
        <w:rPr>
          <w:rFonts w:hint="eastAsia"/>
          <w:lang w:eastAsia="zh-CN"/>
        </w:rPr>
      </w:pPr>
    </w:p>
    <w:p w14:paraId="45FEF10C">
      <w:pPr>
        <w:rPr>
          <w:rFonts w:hint="eastAsia"/>
          <w:lang w:eastAsia="zh-CN"/>
        </w:rPr>
      </w:pPr>
    </w:p>
    <w:p w14:paraId="0D9775CC">
      <w:pPr>
        <w:pStyle w:val="26"/>
        <w:keepNext w:val="0"/>
        <w:keepLines w:val="0"/>
        <w:suppressLineNumbers w:val="0"/>
        <w:bidi w:val="0"/>
        <w:spacing w:before="0" w:beforeAutospacing="0" w:after="0" w:afterAutospacing="0"/>
        <w:ind w:left="0" w:right="0"/>
        <w:rPr>
          <w:rFonts w:hint="eastAsia" w:ascii="宋体" w:hAnsi="宋体" w:eastAsia="Times New Roman" w:cs="宋体"/>
          <w:bCs/>
          <w:color w:val="auto"/>
          <w:sz w:val="24"/>
          <w:lang w:val="en-US" w:eastAsia="zh-CN"/>
        </w:rPr>
      </w:pPr>
      <w:r>
        <w:rPr>
          <w:rFonts w:hint="eastAsia" w:ascii="宋体" w:hAnsi="宋体" w:eastAsia="Times New Roman" w:cs="宋体"/>
          <w:bCs/>
          <w:color w:val="auto"/>
          <w:sz w:val="24"/>
          <w:lang w:val="en-US" w:eastAsia="zh-CN"/>
        </w:rPr>
        <w:t>表4  验收工作组成员一览表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844"/>
        <w:gridCol w:w="1563"/>
        <w:gridCol w:w="1986"/>
      </w:tblGrid>
      <w:tr w14:paraId="3D3F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DCD6D27">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姓名</w:t>
            </w:r>
          </w:p>
        </w:tc>
        <w:tc>
          <w:tcPr>
            <w:tcW w:w="2255" w:type="pct"/>
            <w:vAlign w:val="center"/>
          </w:tcPr>
          <w:p w14:paraId="51F78325">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单位</w:t>
            </w:r>
          </w:p>
        </w:tc>
        <w:tc>
          <w:tcPr>
            <w:tcW w:w="917" w:type="pct"/>
            <w:vAlign w:val="center"/>
          </w:tcPr>
          <w:p w14:paraId="10C1499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工作组角色</w:t>
            </w:r>
          </w:p>
        </w:tc>
        <w:tc>
          <w:tcPr>
            <w:tcW w:w="1165" w:type="pct"/>
            <w:vAlign w:val="center"/>
          </w:tcPr>
          <w:p w14:paraId="3DB39D5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电话</w:t>
            </w:r>
          </w:p>
        </w:tc>
      </w:tr>
      <w:tr w14:paraId="5F96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A348D48">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cs="Times New Roman" w:eastAsiaTheme="minorEastAsia"/>
                <w:color w:val="auto"/>
                <w:kern w:val="0"/>
                <w:sz w:val="21"/>
                <w:szCs w:val="21"/>
                <w:highlight w:val="white"/>
                <w:lang w:val="en-US" w:eastAsia="zh-CN" w:bidi="ar-SA"/>
              </w:rPr>
              <w:t>胡细干</w:t>
            </w:r>
          </w:p>
        </w:tc>
        <w:tc>
          <w:tcPr>
            <w:tcW w:w="2255" w:type="pct"/>
            <w:vAlign w:val="center"/>
          </w:tcPr>
          <w:p w14:paraId="0F5B62E3">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安庆汇辰科技有限公司</w:t>
            </w:r>
          </w:p>
        </w:tc>
        <w:tc>
          <w:tcPr>
            <w:tcW w:w="917" w:type="pct"/>
            <w:vAlign w:val="center"/>
          </w:tcPr>
          <w:p w14:paraId="6CC12D67">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组长</w:t>
            </w:r>
          </w:p>
        </w:tc>
        <w:tc>
          <w:tcPr>
            <w:tcW w:w="1165" w:type="pct"/>
            <w:vAlign w:val="center"/>
          </w:tcPr>
          <w:p w14:paraId="4F66974C">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18079255788</w:t>
            </w:r>
          </w:p>
        </w:tc>
      </w:tr>
      <w:tr w14:paraId="499A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993C080">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肖兵</w:t>
            </w:r>
          </w:p>
        </w:tc>
        <w:tc>
          <w:tcPr>
            <w:tcW w:w="2255" w:type="pct"/>
            <w:vAlign w:val="center"/>
          </w:tcPr>
          <w:p w14:paraId="6B83FBEA">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中石化安庆分公司</w:t>
            </w:r>
          </w:p>
        </w:tc>
        <w:tc>
          <w:tcPr>
            <w:tcW w:w="917" w:type="pct"/>
            <w:vAlign w:val="center"/>
          </w:tcPr>
          <w:p w14:paraId="2C2CD14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专家</w:t>
            </w:r>
          </w:p>
        </w:tc>
        <w:tc>
          <w:tcPr>
            <w:tcW w:w="1165" w:type="pct"/>
            <w:vAlign w:val="center"/>
          </w:tcPr>
          <w:p w14:paraId="05674926">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13955604949</w:t>
            </w:r>
          </w:p>
        </w:tc>
      </w:tr>
      <w:tr w14:paraId="479B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E06D494">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安乐生</w:t>
            </w:r>
          </w:p>
        </w:tc>
        <w:tc>
          <w:tcPr>
            <w:tcW w:w="3844" w:type="dxa"/>
            <w:vAlign w:val="center"/>
          </w:tcPr>
          <w:p w14:paraId="4876D46B">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安庆师范大学</w:t>
            </w:r>
          </w:p>
        </w:tc>
        <w:tc>
          <w:tcPr>
            <w:tcW w:w="1563" w:type="dxa"/>
            <w:vAlign w:val="center"/>
          </w:tcPr>
          <w:p w14:paraId="04073A0A">
            <w:pPr>
              <w:autoSpaceDE w:val="0"/>
              <w:autoSpaceDN w:val="0"/>
              <w:adjustRightInd w:val="0"/>
              <w:spacing w:line="360" w:lineRule="auto"/>
              <w:jc w:val="center"/>
              <w:rPr>
                <w:rFonts w:hint="eastAsia" w:eastAsiaTheme="minorEastAsia"/>
                <w:color w:val="auto"/>
                <w:kern w:val="0"/>
                <w:szCs w:val="21"/>
                <w:highlight w:val="white"/>
                <w:lang w:val="zh-CN"/>
              </w:rPr>
            </w:pPr>
            <w:r>
              <w:rPr>
                <w:rFonts w:hint="eastAsia" w:eastAsiaTheme="minorEastAsia"/>
                <w:color w:val="auto"/>
                <w:kern w:val="0"/>
                <w:szCs w:val="21"/>
                <w:highlight w:val="white"/>
                <w:lang w:val="en-US" w:eastAsia="zh-CN"/>
              </w:rPr>
              <w:t>专家</w:t>
            </w:r>
          </w:p>
        </w:tc>
        <w:tc>
          <w:tcPr>
            <w:tcW w:w="1986" w:type="dxa"/>
            <w:vAlign w:val="center"/>
          </w:tcPr>
          <w:p w14:paraId="5963FB01">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cs="Times New Roman"/>
                <w:i w:val="0"/>
                <w:iCs w:val="0"/>
                <w:color w:val="auto"/>
                <w:kern w:val="0"/>
                <w:sz w:val="21"/>
                <w:szCs w:val="21"/>
                <w:highlight w:val="none"/>
                <w:u w:val="none"/>
                <w:lang w:val="en-US" w:eastAsia="zh-CN" w:bidi="ar"/>
              </w:rPr>
              <w:t>15955565112</w:t>
            </w:r>
          </w:p>
        </w:tc>
      </w:tr>
      <w:tr w14:paraId="5FB3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8FACDB3">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陈祥和</w:t>
            </w:r>
          </w:p>
        </w:tc>
        <w:tc>
          <w:tcPr>
            <w:tcW w:w="2255" w:type="pct"/>
            <w:vAlign w:val="center"/>
          </w:tcPr>
          <w:p w14:paraId="19C7F785">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安徽中祥环境科技有限公司</w:t>
            </w:r>
          </w:p>
        </w:tc>
        <w:tc>
          <w:tcPr>
            <w:tcW w:w="917" w:type="pct"/>
            <w:vAlign w:val="center"/>
          </w:tcPr>
          <w:p w14:paraId="31660319">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专家</w:t>
            </w:r>
          </w:p>
        </w:tc>
        <w:tc>
          <w:tcPr>
            <w:tcW w:w="1165" w:type="pct"/>
            <w:vAlign w:val="center"/>
          </w:tcPr>
          <w:p w14:paraId="06D188E2">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13866052200</w:t>
            </w:r>
          </w:p>
        </w:tc>
      </w:tr>
      <w:tr w14:paraId="5437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64FDF63D">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秦有银</w:t>
            </w:r>
          </w:p>
        </w:tc>
        <w:tc>
          <w:tcPr>
            <w:tcW w:w="2255" w:type="pct"/>
            <w:vAlign w:val="center"/>
          </w:tcPr>
          <w:p w14:paraId="3DE15DE3">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10FF6858">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7B49EB04">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15027140319</w:t>
            </w:r>
          </w:p>
        </w:tc>
      </w:tr>
      <w:tr w14:paraId="600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84F0E8E">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张国胜</w:t>
            </w:r>
          </w:p>
        </w:tc>
        <w:tc>
          <w:tcPr>
            <w:tcW w:w="2255" w:type="pct"/>
            <w:vAlign w:val="center"/>
          </w:tcPr>
          <w:p w14:paraId="675D8B5A">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054682B8">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1B68B3E">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18956987933</w:t>
            </w:r>
          </w:p>
        </w:tc>
      </w:tr>
      <w:tr w14:paraId="066C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0EF2860">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李勤锋</w:t>
            </w:r>
          </w:p>
        </w:tc>
        <w:tc>
          <w:tcPr>
            <w:tcW w:w="2255" w:type="pct"/>
            <w:vAlign w:val="center"/>
          </w:tcPr>
          <w:p w14:paraId="66BC3793">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028723C0">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D487EC0">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18164351288</w:t>
            </w:r>
          </w:p>
        </w:tc>
      </w:tr>
      <w:tr w14:paraId="0EB3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4BC11E41">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蔡健</w:t>
            </w:r>
          </w:p>
        </w:tc>
        <w:tc>
          <w:tcPr>
            <w:tcW w:w="2255" w:type="pct"/>
            <w:vAlign w:val="center"/>
          </w:tcPr>
          <w:p w14:paraId="4CC99003">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安徽普利药业有限公司</w:t>
            </w:r>
          </w:p>
        </w:tc>
        <w:tc>
          <w:tcPr>
            <w:tcW w:w="917" w:type="pct"/>
            <w:vAlign w:val="center"/>
          </w:tcPr>
          <w:p w14:paraId="40BC2BAF">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216D2BBF">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15178631942</w:t>
            </w:r>
          </w:p>
        </w:tc>
      </w:tr>
      <w:tr w14:paraId="35DC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7D09BC36">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唐义才</w:t>
            </w:r>
          </w:p>
        </w:tc>
        <w:tc>
          <w:tcPr>
            <w:tcW w:w="2255" w:type="pct"/>
            <w:vAlign w:val="center"/>
          </w:tcPr>
          <w:p w14:paraId="3959BFCB">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安徽古特生物科技有限公司</w:t>
            </w:r>
          </w:p>
        </w:tc>
        <w:tc>
          <w:tcPr>
            <w:tcW w:w="917" w:type="pct"/>
            <w:vAlign w:val="center"/>
          </w:tcPr>
          <w:p w14:paraId="5C12F5D3">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DE97C62">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15178631942</w:t>
            </w:r>
          </w:p>
        </w:tc>
      </w:tr>
      <w:tr w14:paraId="0790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680A3A7E">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何志洋</w:t>
            </w:r>
          </w:p>
        </w:tc>
        <w:tc>
          <w:tcPr>
            <w:tcW w:w="2255" w:type="pct"/>
            <w:vAlign w:val="center"/>
          </w:tcPr>
          <w:p w14:paraId="27C1992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安徽凯格环保工程有限公司</w:t>
            </w:r>
          </w:p>
        </w:tc>
        <w:tc>
          <w:tcPr>
            <w:tcW w:w="917" w:type="pct"/>
            <w:vAlign w:val="center"/>
          </w:tcPr>
          <w:p w14:paraId="32D18E4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300148A8">
            <w:pPr>
              <w:autoSpaceDE w:val="0"/>
              <w:autoSpaceDN w:val="0"/>
              <w:adjustRightInd w:val="0"/>
              <w:spacing w:line="360" w:lineRule="auto"/>
              <w:jc w:val="center"/>
              <w:rPr>
                <w:rFonts w:hint="default" w:cs="Times New Roman"/>
                <w:i w:val="0"/>
                <w:iCs w:val="0"/>
                <w:color w:val="auto"/>
                <w:kern w:val="0"/>
                <w:sz w:val="21"/>
                <w:szCs w:val="21"/>
                <w:highlight w:val="none"/>
                <w:u w:val="none"/>
                <w:lang w:val="en-US" w:eastAsia="zh-CN" w:bidi="ar"/>
              </w:rPr>
            </w:pPr>
            <w:r>
              <w:rPr>
                <w:rFonts w:hint="eastAsia" w:cs="Times New Roman"/>
                <w:i w:val="0"/>
                <w:iCs w:val="0"/>
                <w:color w:val="auto"/>
                <w:kern w:val="0"/>
                <w:sz w:val="21"/>
                <w:szCs w:val="21"/>
                <w:highlight w:val="none"/>
                <w:u w:val="none"/>
                <w:lang w:val="en-US" w:eastAsia="zh-CN" w:bidi="ar"/>
              </w:rPr>
              <w:t>18712188285</w:t>
            </w:r>
          </w:p>
        </w:tc>
      </w:tr>
      <w:tr w14:paraId="5595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6253BA4">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张露</w:t>
            </w:r>
          </w:p>
        </w:tc>
        <w:tc>
          <w:tcPr>
            <w:tcW w:w="2255" w:type="pct"/>
            <w:vAlign w:val="center"/>
          </w:tcPr>
          <w:p w14:paraId="7C6C7764">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安徽凯格环保工程有限公司</w:t>
            </w:r>
          </w:p>
        </w:tc>
        <w:tc>
          <w:tcPr>
            <w:tcW w:w="917" w:type="pct"/>
            <w:vAlign w:val="center"/>
          </w:tcPr>
          <w:p w14:paraId="5108EC66">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组员</w:t>
            </w:r>
          </w:p>
        </w:tc>
        <w:tc>
          <w:tcPr>
            <w:tcW w:w="1165" w:type="pct"/>
            <w:vAlign w:val="center"/>
          </w:tcPr>
          <w:p w14:paraId="39F7A1EF">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17356036717</w:t>
            </w:r>
          </w:p>
        </w:tc>
      </w:tr>
    </w:tbl>
    <w:p w14:paraId="7E4B2875">
      <w:pPr>
        <w:spacing w:line="360" w:lineRule="auto"/>
        <w:ind w:firstLine="480" w:firstLineChars="200"/>
        <w:jc w:val="right"/>
        <w:rPr>
          <w:rFonts w:eastAsiaTheme="minorEastAsia"/>
          <w:color w:val="auto"/>
          <w:sz w:val="24"/>
        </w:rPr>
      </w:pPr>
    </w:p>
    <w:p w14:paraId="2F757C28">
      <w:pPr>
        <w:pStyle w:val="6"/>
        <w:spacing w:before="0" w:line="360" w:lineRule="auto"/>
        <w:ind w:firstLine="480"/>
        <w:jc w:val="righ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安庆汇辰科技有限公司</w:t>
      </w:r>
    </w:p>
    <w:p w14:paraId="5A1FB932">
      <w:pPr>
        <w:pStyle w:val="6"/>
        <w:spacing w:before="0" w:line="360" w:lineRule="auto"/>
        <w:ind w:firstLine="480"/>
        <w:jc w:val="right"/>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202</w:t>
      </w:r>
      <w:r>
        <w:rPr>
          <w:rFonts w:hint="eastAsia" w:ascii="Times New Roman" w:hAnsi="Times New Roman" w:eastAsia="宋体" w:cs="Times New Roman"/>
          <w:sz w:val="24"/>
          <w:szCs w:val="24"/>
          <w:highlight w:val="none"/>
          <w:lang w:val="en-US" w:eastAsia="zh-CN"/>
        </w:rPr>
        <w:t>6</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 xml:space="preserve"> 5</w:t>
      </w:r>
      <w:r>
        <w:rPr>
          <w:rFonts w:hint="eastAsia" w:ascii="Times New Roman" w:hAnsi="Times New Roman" w:eastAsia="宋体" w:cs="Times New Roman"/>
          <w:sz w:val="24"/>
          <w:szCs w:val="24"/>
          <w:highlight w:val="none"/>
          <w:lang w:eastAsia="zh-CN"/>
        </w:rPr>
        <w:t xml:space="preserve">月 </w:t>
      </w:r>
      <w:r>
        <w:rPr>
          <w:rFonts w:hint="eastAsia" w:ascii="Times New Roman" w:hAnsi="Times New Roman" w:eastAsia="宋体" w:cs="Times New Roman"/>
          <w:sz w:val="24"/>
          <w:szCs w:val="24"/>
          <w:highlight w:val="none"/>
          <w:lang w:val="en-US" w:eastAsia="zh-CN"/>
        </w:rPr>
        <w:t>13</w:t>
      </w:r>
      <w:r>
        <w:rPr>
          <w:rFonts w:hint="eastAsia" w:ascii="Times New Roman" w:hAnsi="Times New Roman" w:eastAsia="宋体" w:cs="Times New Roman"/>
          <w:sz w:val="24"/>
          <w:szCs w:val="24"/>
          <w:highlight w:val="none"/>
          <w:lang w:eastAsia="zh-CN"/>
        </w:rPr>
        <w:t>日</w:t>
      </w:r>
    </w:p>
    <w:p w14:paraId="35499F7B">
      <w:pPr>
        <w:spacing w:line="360" w:lineRule="auto"/>
        <w:ind w:firstLine="480" w:firstLineChars="200"/>
        <w:rPr>
          <w:color w:val="auto"/>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N2Y4Y2M3YzYzNmU4YzM5NWYwYTg5MTg2ZTc1NTgifQ=="/>
  </w:docVars>
  <w:rsids>
    <w:rsidRoot w:val="00172A27"/>
    <w:rsid w:val="000F6FAD"/>
    <w:rsid w:val="001644BC"/>
    <w:rsid w:val="00217F13"/>
    <w:rsid w:val="004C03EB"/>
    <w:rsid w:val="005167D0"/>
    <w:rsid w:val="005724BA"/>
    <w:rsid w:val="005D438A"/>
    <w:rsid w:val="006659E9"/>
    <w:rsid w:val="007B5BCA"/>
    <w:rsid w:val="008700BA"/>
    <w:rsid w:val="008A2F26"/>
    <w:rsid w:val="0094161E"/>
    <w:rsid w:val="00A82FE9"/>
    <w:rsid w:val="00B33FF1"/>
    <w:rsid w:val="00C01108"/>
    <w:rsid w:val="00D01294"/>
    <w:rsid w:val="00DD6AB2"/>
    <w:rsid w:val="00EE641B"/>
    <w:rsid w:val="00F62BA9"/>
    <w:rsid w:val="01541EA9"/>
    <w:rsid w:val="018C33F1"/>
    <w:rsid w:val="0358310C"/>
    <w:rsid w:val="03764359"/>
    <w:rsid w:val="03DE1080"/>
    <w:rsid w:val="04A6181A"/>
    <w:rsid w:val="075A7AEE"/>
    <w:rsid w:val="08F560BD"/>
    <w:rsid w:val="09470BF0"/>
    <w:rsid w:val="0C346B5F"/>
    <w:rsid w:val="0C3D1EB8"/>
    <w:rsid w:val="0CA02447"/>
    <w:rsid w:val="0EE730D9"/>
    <w:rsid w:val="0EF44384"/>
    <w:rsid w:val="0FB6788B"/>
    <w:rsid w:val="1211524D"/>
    <w:rsid w:val="130B7EEE"/>
    <w:rsid w:val="14065285"/>
    <w:rsid w:val="14524026"/>
    <w:rsid w:val="14C33176"/>
    <w:rsid w:val="14DC1B42"/>
    <w:rsid w:val="15604521"/>
    <w:rsid w:val="156C2EC6"/>
    <w:rsid w:val="15E2587E"/>
    <w:rsid w:val="16FC296F"/>
    <w:rsid w:val="18C15C1F"/>
    <w:rsid w:val="1A78230D"/>
    <w:rsid w:val="1CFE1784"/>
    <w:rsid w:val="1D306ECF"/>
    <w:rsid w:val="1D416BD4"/>
    <w:rsid w:val="1DDF4451"/>
    <w:rsid w:val="1E0D700C"/>
    <w:rsid w:val="1F1B731A"/>
    <w:rsid w:val="23696C97"/>
    <w:rsid w:val="2372058B"/>
    <w:rsid w:val="23A221A9"/>
    <w:rsid w:val="23C5173D"/>
    <w:rsid w:val="244B45EE"/>
    <w:rsid w:val="24A81A41"/>
    <w:rsid w:val="265C6F87"/>
    <w:rsid w:val="2A2658E2"/>
    <w:rsid w:val="2B91322F"/>
    <w:rsid w:val="2C732934"/>
    <w:rsid w:val="2C923702"/>
    <w:rsid w:val="2CFC5020"/>
    <w:rsid w:val="2F6A6270"/>
    <w:rsid w:val="2FE14059"/>
    <w:rsid w:val="30B005FB"/>
    <w:rsid w:val="318C5234"/>
    <w:rsid w:val="323B0398"/>
    <w:rsid w:val="33294694"/>
    <w:rsid w:val="33743B62"/>
    <w:rsid w:val="33C70135"/>
    <w:rsid w:val="344D3AEC"/>
    <w:rsid w:val="346E0535"/>
    <w:rsid w:val="35D501BC"/>
    <w:rsid w:val="367C4B66"/>
    <w:rsid w:val="39B822CE"/>
    <w:rsid w:val="3A4A0CF0"/>
    <w:rsid w:val="3B5B1DC5"/>
    <w:rsid w:val="3DBD29D4"/>
    <w:rsid w:val="3F2A5A1C"/>
    <w:rsid w:val="3FB11845"/>
    <w:rsid w:val="41395AA3"/>
    <w:rsid w:val="425F3C2F"/>
    <w:rsid w:val="442B59E3"/>
    <w:rsid w:val="44367A37"/>
    <w:rsid w:val="46EE10DD"/>
    <w:rsid w:val="49362EA4"/>
    <w:rsid w:val="49746212"/>
    <w:rsid w:val="4D0B0C3B"/>
    <w:rsid w:val="4E616639"/>
    <w:rsid w:val="4F1F45F5"/>
    <w:rsid w:val="52ED2B91"/>
    <w:rsid w:val="55E93AE3"/>
    <w:rsid w:val="56D773BB"/>
    <w:rsid w:val="56F269C8"/>
    <w:rsid w:val="58A106A5"/>
    <w:rsid w:val="5A166E71"/>
    <w:rsid w:val="5A7A7400"/>
    <w:rsid w:val="5C7D6D34"/>
    <w:rsid w:val="5D9205BD"/>
    <w:rsid w:val="5F041285"/>
    <w:rsid w:val="61447BB9"/>
    <w:rsid w:val="62775FD3"/>
    <w:rsid w:val="63AB23D8"/>
    <w:rsid w:val="64011E50"/>
    <w:rsid w:val="65F8742B"/>
    <w:rsid w:val="664F7993"/>
    <w:rsid w:val="66F45E44"/>
    <w:rsid w:val="68945B31"/>
    <w:rsid w:val="69146C72"/>
    <w:rsid w:val="69B12712"/>
    <w:rsid w:val="6A097E59"/>
    <w:rsid w:val="6AEA5EDC"/>
    <w:rsid w:val="6B204148"/>
    <w:rsid w:val="6B293A28"/>
    <w:rsid w:val="6B8E2D0B"/>
    <w:rsid w:val="6BF81E3B"/>
    <w:rsid w:val="6F0230C8"/>
    <w:rsid w:val="6F35524C"/>
    <w:rsid w:val="6F4162E7"/>
    <w:rsid w:val="709541F4"/>
    <w:rsid w:val="713113D9"/>
    <w:rsid w:val="723839D1"/>
    <w:rsid w:val="73397D6D"/>
    <w:rsid w:val="7346211D"/>
    <w:rsid w:val="737A1DC7"/>
    <w:rsid w:val="75D02172"/>
    <w:rsid w:val="76432578"/>
    <w:rsid w:val="76946CFC"/>
    <w:rsid w:val="76B4114C"/>
    <w:rsid w:val="77EC1AA6"/>
    <w:rsid w:val="78F47F26"/>
    <w:rsid w:val="7ABE2599"/>
    <w:rsid w:val="7BF1074D"/>
    <w:rsid w:val="7BF70459"/>
    <w:rsid w:val="7C5E7F62"/>
    <w:rsid w:val="7CCD2F68"/>
    <w:rsid w:val="7D1E37C3"/>
    <w:rsid w:val="7EE756FA"/>
    <w:rsid w:val="7FB14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50" w:beforeLines="50" w:after="50" w:afterLines="50" w:line="360" w:lineRule="auto"/>
      <w:jc w:val="center"/>
      <w:outlineLvl w:val="0"/>
    </w:pPr>
    <w:rPr>
      <w:rFonts w:cs="Arial"/>
      <w:b/>
      <w:kern w:val="44"/>
      <w:sz w:val="32"/>
      <w:szCs w:val="22"/>
    </w:rPr>
  </w:style>
  <w:style w:type="paragraph" w:styleId="3">
    <w:name w:val="heading 2"/>
    <w:basedOn w:val="1"/>
    <w:next w:val="1"/>
    <w:link w:val="22"/>
    <w:semiHidden/>
    <w:unhideWhenUsed/>
    <w:qFormat/>
    <w:uiPriority w:val="0"/>
    <w:pPr>
      <w:keepNext/>
      <w:keepLines/>
      <w:spacing w:before="50" w:beforeLines="50" w:after="50" w:afterLines="50" w:line="360" w:lineRule="auto"/>
      <w:outlineLvl w:val="1"/>
    </w:pPr>
    <w:rPr>
      <w:rFonts w:eastAsiaTheme="minorEastAsia"/>
      <w:b/>
      <w:bCs/>
      <w:sz w:val="28"/>
      <w:szCs w:val="32"/>
    </w:rPr>
  </w:style>
  <w:style w:type="paragraph" w:styleId="4">
    <w:name w:val="heading 3"/>
    <w:basedOn w:val="1"/>
    <w:next w:val="1"/>
    <w:semiHidden/>
    <w:unhideWhenUsed/>
    <w:qFormat/>
    <w:uiPriority w:val="0"/>
    <w:pPr>
      <w:keepNext/>
      <w:keepLines/>
      <w:spacing w:before="20" w:after="20" w:line="360" w:lineRule="auto"/>
      <w:outlineLvl w:val="2"/>
    </w:pPr>
    <w:rPr>
      <w:rFonts w:cs="Arial"/>
      <w:b/>
      <w:sz w:val="28"/>
      <w:szCs w:val="2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widowControl/>
      <w:adjustRightInd w:val="0"/>
      <w:snapToGrid w:val="0"/>
      <w:spacing w:after="200"/>
      <w:ind w:firstLine="652"/>
      <w:jc w:val="left"/>
    </w:pPr>
    <w:rPr>
      <w:rFonts w:ascii="Tahoma" w:hAnsi="Tahoma" w:eastAsia="微软雅黑"/>
      <w:kern w:val="0"/>
      <w:sz w:val="22"/>
      <w:szCs w:val="22"/>
    </w:rPr>
  </w:style>
  <w:style w:type="paragraph" w:styleId="6">
    <w:name w:val="Body Text First Indent 2"/>
    <w:basedOn w:val="1"/>
    <w:next w:val="1"/>
    <w:unhideWhenUsed/>
    <w:qFormat/>
    <w:uiPriority w:val="99"/>
    <w:pPr>
      <w:ind w:firstLine="420" w:firstLineChars="200"/>
    </w:pPr>
  </w:style>
  <w:style w:type="paragraph" w:styleId="7">
    <w:name w:val="annotation text"/>
    <w:basedOn w:val="1"/>
    <w:qFormat/>
    <w:uiPriority w:val="0"/>
    <w:pPr>
      <w:jc w:val="left"/>
    </w:pPr>
  </w:style>
  <w:style w:type="paragraph" w:styleId="8">
    <w:name w:val="Body Text"/>
    <w:basedOn w:val="1"/>
    <w:link w:val="24"/>
    <w:qFormat/>
    <w:uiPriority w:val="0"/>
    <w:pPr>
      <w:spacing w:after="120"/>
    </w:pPr>
  </w:style>
  <w:style w:type="paragraph" w:styleId="9">
    <w:name w:val="Body Text Indent"/>
    <w:basedOn w:val="1"/>
    <w:next w:val="10"/>
    <w:unhideWhenUsed/>
    <w:qFormat/>
    <w:uiPriority w:val="99"/>
    <w:pPr>
      <w:spacing w:before="120" w:line="360" w:lineRule="atLeast"/>
      <w:ind w:firstLine="539"/>
    </w:pPr>
    <w:rPr>
      <w:sz w:val="24"/>
    </w:rPr>
  </w:style>
  <w:style w:type="paragraph" w:styleId="10">
    <w:name w:val="envelope return"/>
    <w:basedOn w:val="1"/>
    <w:unhideWhenUsed/>
    <w:qFormat/>
    <w:uiPriority w:val="99"/>
    <w:pPr>
      <w:snapToGrid w:val="0"/>
      <w:ind w:firstLine="723"/>
      <w:jc w:val="left"/>
    </w:pPr>
    <w:rPr>
      <w:rFonts w:ascii="Arial" w:hAnsi="Arial" w:cs="宋体"/>
    </w:rPr>
  </w:style>
  <w:style w:type="paragraph" w:styleId="11">
    <w:name w:val="Plain Text"/>
    <w:basedOn w:val="1"/>
    <w:qFormat/>
    <w:uiPriority w:val="0"/>
    <w:rPr>
      <w:rFonts w:ascii="宋体" w:hAnsi="Courier New"/>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表头"/>
    <w:basedOn w:val="16"/>
    <w:next w:val="1"/>
    <w:qFormat/>
    <w:uiPriority w:val="0"/>
    <w:pPr>
      <w:spacing w:before="50" w:beforeLines="50" w:after="50" w:afterLines="50" w:line="360" w:lineRule="auto"/>
      <w:jc w:val="center"/>
    </w:pPr>
    <w:rPr>
      <w:rFonts w:ascii="Times New Roman" w:hAnsi="Times New Roman" w:cs="Arial"/>
      <w:szCs w:val="22"/>
    </w:rPr>
  </w:style>
  <w:style w:type="paragraph" w:customStyle="1" w:styleId="16">
    <w:name w:val="文本"/>
    <w:basedOn w:val="1"/>
    <w:next w:val="1"/>
    <w:autoRedefine/>
    <w:qFormat/>
    <w:uiPriority w:val="99"/>
    <w:pPr>
      <w:widowControl/>
      <w:spacing w:line="440" w:lineRule="exact"/>
      <w:ind w:firstLine="0" w:firstLineChars="0"/>
      <w:jc w:val="left"/>
    </w:pPr>
    <w:rPr>
      <w:rFonts w:ascii="Calibri" w:hAnsi="Calibri"/>
      <w:sz w:val="21"/>
    </w:rPr>
  </w:style>
  <w:style w:type="paragraph" w:customStyle="1" w:styleId="17">
    <w:name w:val="表格"/>
    <w:basedOn w:val="15"/>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paragraph" w:customStyle="1" w:styleId="18">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 w:type="paragraph" w:customStyle="1" w:styleId="19">
    <w:name w:val="正文-Walker"/>
    <w:basedOn w:val="1"/>
    <w:qFormat/>
    <w:uiPriority w:val="0"/>
    <w:rPr>
      <w:rFonts w:cs="宋体"/>
      <w:sz w:val="24"/>
      <w:szCs w:val="22"/>
    </w:rPr>
  </w:style>
  <w:style w:type="paragraph" w:customStyle="1" w:styleId="20">
    <w:name w:val="表中字体-Walker"/>
    <w:basedOn w:val="1"/>
    <w:qFormat/>
    <w:uiPriority w:val="0"/>
    <w:rPr>
      <w:rFonts w:cs="Arial"/>
      <w:szCs w:val="22"/>
    </w:rPr>
  </w:style>
  <w:style w:type="paragraph" w:customStyle="1" w:styleId="21">
    <w:name w:val="表头-Walker"/>
    <w:basedOn w:val="11"/>
    <w:qFormat/>
    <w:uiPriority w:val="0"/>
    <w:pPr>
      <w:spacing w:before="50" w:beforeLines="50" w:after="50" w:afterLines="50" w:line="360" w:lineRule="auto"/>
      <w:jc w:val="center"/>
    </w:pPr>
    <w:rPr>
      <w:rFonts w:ascii="Times New Roman" w:hAnsi="Times New Roman" w:cs="Arial"/>
      <w:b/>
      <w:szCs w:val="22"/>
    </w:rPr>
  </w:style>
  <w:style w:type="character" w:customStyle="1" w:styleId="22">
    <w:name w:val="标题 2 字符"/>
    <w:link w:val="3"/>
    <w:qFormat/>
    <w:uiPriority w:val="0"/>
    <w:rPr>
      <w:rFonts w:ascii="Times New Roman" w:hAnsi="Times New Roman" w:eastAsiaTheme="minorEastAsia"/>
      <w:b/>
      <w:bCs/>
      <w:sz w:val="28"/>
      <w:szCs w:val="32"/>
    </w:rPr>
  </w:style>
  <w:style w:type="paragraph" w:customStyle="1" w:styleId="23">
    <w:name w:val="普通(网站)1"/>
    <w:basedOn w:val="1"/>
    <w:qFormat/>
    <w:uiPriority w:val="0"/>
    <w:pPr>
      <w:spacing w:before="100" w:beforeAutospacing="1" w:after="100" w:afterAutospacing="1"/>
    </w:pPr>
    <w:rPr>
      <w:rFonts w:ascii="宋体" w:hAnsi="宋体" w:cs="宋体"/>
      <w:sz w:val="24"/>
    </w:rPr>
  </w:style>
  <w:style w:type="character" w:customStyle="1" w:styleId="24">
    <w:name w:val="正文文本 字符"/>
    <w:basedOn w:val="14"/>
    <w:link w:val="8"/>
    <w:qFormat/>
    <w:uiPriority w:val="0"/>
    <w:rPr>
      <w:rFonts w:ascii="Times New Roman" w:hAnsi="Times New Roman"/>
      <w:kern w:val="2"/>
      <w:sz w:val="21"/>
      <w:szCs w:val="24"/>
    </w:rPr>
  </w:style>
  <w:style w:type="paragraph" w:customStyle="1" w:styleId="2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6">
    <w:name w:val="图表标题"/>
    <w:basedOn w:val="1"/>
    <w:qFormat/>
    <w:uiPriority w:val="0"/>
    <w:pPr>
      <w:ind w:firstLine="0" w:firstLineChars="0"/>
      <w:jc w:val="center"/>
    </w:pPr>
    <w:rPr>
      <w:rFonts w:eastAsia="Times New Roman"/>
      <w:b/>
    </w:rPr>
  </w:style>
  <w:style w:type="paragraph" w:customStyle="1" w:styleId="27">
    <w:name w:val="wg"/>
    <w:basedOn w:val="1"/>
    <w:qFormat/>
    <w:uiPriority w:val="0"/>
    <w:rPr>
      <w:sz w:val="28"/>
    </w:rPr>
  </w:style>
  <w:style w:type="paragraph" w:customStyle="1" w:styleId="28">
    <w:name w:val="A标准格式"/>
    <w:basedOn w:val="1"/>
    <w:qFormat/>
    <w:uiPriority w:val="0"/>
    <w:pPr>
      <w:spacing w:line="440" w:lineRule="exact"/>
      <w:ind w:firstLine="480" w:firstLineChars="200"/>
    </w:pPr>
    <w:rPr>
      <w:rFonts w:eastAsia="宋体"/>
      <w:sz w:val="24"/>
      <w:szCs w:val="24"/>
    </w:rPr>
  </w:style>
  <w:style w:type="paragraph" w:customStyle="1" w:styleId="29">
    <w:name w:val="表格内容自定"/>
    <w:basedOn w:val="1"/>
    <w:qFormat/>
    <w:uiPriority w:val="0"/>
    <w:pPr>
      <w:spacing w:line="280" w:lineRule="exact"/>
      <w:jc w:val="center"/>
    </w:pPr>
    <w:rPr>
      <w:kern w:val="0"/>
      <w:sz w:val="18"/>
      <w:szCs w:val="20"/>
    </w:rPr>
  </w:style>
  <w:style w:type="paragraph" w:customStyle="1" w:styleId="30">
    <w:name w:val="新格式表"/>
    <w:basedOn w:val="1"/>
    <w:autoRedefine/>
    <w:qFormat/>
    <w:uiPriority w:val="0"/>
    <w:pPr>
      <w:spacing w:line="440" w:lineRule="exact"/>
      <w:jc w:val="center"/>
    </w:pPr>
    <w:rPr>
      <w:rFonts w:ascii="Times New Roman" w:hAnsi="Times New Roman" w:eastAsia="宋体" w:cs="Times New Roman"/>
      <w:snapToGrid w:val="0"/>
      <w:color w:val="FF000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2266</Words>
  <Characters>2424</Characters>
  <Lines>16</Lines>
  <Paragraphs>4</Paragraphs>
  <TotalTime>2</TotalTime>
  <ScaleCrop>false</ScaleCrop>
  <LinksUpToDate>false</LinksUpToDate>
  <CharactersWithSpaces>2427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2021-07-10T03:11:00Z</dcterms:created>
  <dc:creator>Walker</dc:creator>
  <cp:lastModifiedBy>lucy</cp:lastModifiedBy>
  <cp:lastPrinted>2020-11-11T00:40:00Z</cp:lastPrinted>
  <dcterms:modified xsi:type="dcterms:W3CDTF">2026-06-18T08:53:17Z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0A7E81F9C68E49139712B16C0AAC6B9B</vt:lpwstr>
  </property>
  <property fmtid="{D5CDD505-2E9C-101B-9397-08002B2CF9AE}" pid="4" name="KSOTemplateDocerSaveRecord">
    <vt:lpwstr>eyJoZGlkIjoiMjc5MzBjMzRhZmY4ZjBiNTUwOGE3MTIwOGM3NTk1MWQiLCJ1c2VySWQiOiIyNjU5NjEyMSJ9</vt:lpwstr>
  </property>
</Properties>
</file>