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D74EB">
      <w:pPr>
        <w:spacing w:line="360" w:lineRule="auto"/>
        <w:ind w:firstLine="723" w:firstLineChars="200"/>
        <w:jc w:val="center"/>
        <w:rPr>
          <w:rFonts w:eastAsiaTheme="minorEastAsia"/>
          <w:b/>
          <w:color w:val="auto"/>
          <w:sz w:val="36"/>
          <w:szCs w:val="36"/>
        </w:rPr>
      </w:pPr>
      <w:r>
        <w:rPr>
          <w:rFonts w:hint="eastAsia" w:eastAsiaTheme="minorEastAsia"/>
          <w:b/>
          <w:color w:val="auto"/>
          <w:sz w:val="36"/>
          <w:szCs w:val="36"/>
          <w:lang w:val="zh-CN"/>
        </w:rPr>
        <w:t>潜山金叶油脂有限公司年加工5000吨植物油脂肪酸项目</w:t>
      </w:r>
      <w:r>
        <w:rPr>
          <w:rFonts w:eastAsiaTheme="minorEastAsia"/>
          <w:b/>
          <w:color w:val="auto"/>
          <w:sz w:val="36"/>
          <w:szCs w:val="36"/>
        </w:rPr>
        <w:t>竣工环境保护验收意见</w:t>
      </w:r>
    </w:p>
    <w:p w14:paraId="2CD132F6">
      <w:pPr>
        <w:pStyle w:val="7"/>
        <w:spacing w:line="360" w:lineRule="auto"/>
        <w:ind w:firstLine="480"/>
        <w:rPr>
          <w:color w:val="auto"/>
        </w:rPr>
      </w:pPr>
      <w:r>
        <w:rPr>
          <w:rFonts w:hint="eastAsia"/>
          <w:color w:val="auto"/>
        </w:rPr>
        <w:t>202</w:t>
      </w:r>
      <w:r>
        <w:rPr>
          <w:rFonts w:hint="eastAsia"/>
          <w:color w:val="auto"/>
          <w:lang w:val="en-US" w:eastAsia="zh-CN"/>
        </w:rPr>
        <w:t>5</w:t>
      </w:r>
      <w:r>
        <w:rPr>
          <w:rFonts w:hint="eastAsia"/>
          <w:color w:val="auto"/>
        </w:rPr>
        <w:t>年</w:t>
      </w:r>
      <w:r>
        <w:rPr>
          <w:rFonts w:hint="eastAsia"/>
          <w:color w:val="auto"/>
          <w:lang w:val="en-US" w:eastAsia="zh-CN"/>
        </w:rPr>
        <w:t>9</w:t>
      </w:r>
      <w:r>
        <w:rPr>
          <w:rFonts w:hint="eastAsia"/>
          <w:color w:val="auto"/>
        </w:rPr>
        <w:t>月</w:t>
      </w:r>
      <w:r>
        <w:rPr>
          <w:rFonts w:hint="eastAsia"/>
          <w:color w:val="auto"/>
          <w:lang w:val="en-US" w:eastAsia="zh-CN"/>
        </w:rPr>
        <w:t>18</w:t>
      </w:r>
      <w:r>
        <w:rPr>
          <w:rFonts w:hint="eastAsia"/>
          <w:color w:val="auto"/>
        </w:rPr>
        <w:t>日，</w:t>
      </w:r>
      <w:r>
        <w:rPr>
          <w:rFonts w:hint="eastAsia"/>
          <w:color w:val="auto"/>
          <w:lang w:eastAsia="zh-CN"/>
        </w:rPr>
        <w:t>潜山金叶油脂有限公司</w:t>
      </w:r>
      <w:r>
        <w:rPr>
          <w:rFonts w:hint="eastAsia"/>
          <w:color w:val="auto"/>
        </w:rPr>
        <w:t>在</w:t>
      </w:r>
      <w:r>
        <w:rPr>
          <w:rFonts w:hint="eastAsia"/>
          <w:color w:val="auto"/>
          <w:lang w:val="en-US" w:eastAsia="zh-CN"/>
        </w:rPr>
        <w:t>潜山</w:t>
      </w:r>
      <w:r>
        <w:rPr>
          <w:rFonts w:hint="eastAsia"/>
          <w:color w:val="auto"/>
        </w:rPr>
        <w:t>市主持召开了</w:t>
      </w:r>
      <w:r>
        <w:rPr>
          <w:rFonts w:hint="eastAsia"/>
          <w:color w:val="auto"/>
          <w:lang w:eastAsia="zh-CN"/>
        </w:rPr>
        <w:t>潜山金叶油脂有限公司年加工5000吨植物油脂肪酸项目</w:t>
      </w:r>
      <w:r>
        <w:rPr>
          <w:rFonts w:hint="eastAsia"/>
          <w:color w:val="auto"/>
        </w:rPr>
        <w:t>竣工环境保护验收现场会，</w:t>
      </w:r>
      <w:r>
        <w:rPr>
          <w:rFonts w:hint="eastAsia"/>
          <w:color w:val="auto"/>
          <w:lang w:eastAsia="zh-CN"/>
        </w:rPr>
        <w:t>根据潜山金叶油脂有限公司年加工5000吨植物油脂肪酸项目</w:t>
      </w:r>
      <w:r>
        <w:rPr>
          <w:color w:val="auto"/>
        </w:rPr>
        <w:t>竣工环境保护</w:t>
      </w:r>
      <w:r>
        <w:rPr>
          <w:rFonts w:hint="eastAsia"/>
          <w:color w:val="auto"/>
        </w:rPr>
        <w:t>验收监测报告（表）并对照《建设项目竣工环境保护验收暂行办法》，严格依照国家有关法律法规、建设项目竣工环境保护验收技术规范/指南、本项目环境影响评价报告表和审批部门审批决定等要求对本项目进行验收，提出意见如下：</w:t>
      </w:r>
    </w:p>
    <w:p w14:paraId="4D3D8D14">
      <w:pPr>
        <w:pStyle w:val="21"/>
        <w:spacing w:before="0" w:beforeAutospacing="0" w:after="0" w:afterAutospacing="0" w:line="360" w:lineRule="auto"/>
        <w:ind w:firstLine="482" w:firstLineChars="200"/>
        <w:outlineLvl w:val="0"/>
        <w:rPr>
          <w:b/>
          <w:color w:val="auto"/>
        </w:rPr>
      </w:pPr>
      <w:r>
        <w:rPr>
          <w:rFonts w:hint="eastAsia"/>
          <w:b/>
          <w:color w:val="auto"/>
        </w:rPr>
        <w:t>一、工程建设基本情况</w:t>
      </w:r>
    </w:p>
    <w:p w14:paraId="3628FA73">
      <w:pPr>
        <w:pStyle w:val="7"/>
        <w:spacing w:before="0" w:line="360" w:lineRule="auto"/>
        <w:ind w:firstLine="480"/>
        <w:rPr>
          <w:color w:val="auto"/>
        </w:rPr>
      </w:pPr>
      <w:r>
        <w:rPr>
          <w:color w:val="auto"/>
        </w:rPr>
        <w:t>（一）建设地点、规模、主要建设内容</w:t>
      </w:r>
    </w:p>
    <w:p w14:paraId="16541B86">
      <w:pPr>
        <w:pStyle w:val="7"/>
        <w:spacing w:before="0" w:line="360" w:lineRule="auto"/>
        <w:ind w:firstLine="480"/>
        <w:rPr>
          <w:rFonts w:hint="default" w:eastAsia="宋体"/>
          <w:color w:val="auto"/>
          <w:lang w:val="en-US" w:eastAsia="zh-CN"/>
        </w:rPr>
      </w:pPr>
      <w:r>
        <w:rPr>
          <w:rFonts w:hint="eastAsia"/>
          <w:color w:val="auto"/>
        </w:rPr>
        <w:t>潜山金叶油脂有限公司成立于2024年12月，公司主要从事植物油脂肪酸加工。公司租赁潜山市梅城镇潘铺工业园区内标准化厂房2000余平方米，投资10000万元建设《年加工5000吨植物油脂肪酸项目》。</w:t>
      </w:r>
      <w:r>
        <w:rPr>
          <w:rFonts w:hint="eastAsia"/>
          <w:color w:val="auto"/>
          <w:lang w:val="en-US" w:eastAsia="zh-CN"/>
        </w:rPr>
        <w:t>项目建成后年产米糠油脂肪酸5000t/a。</w:t>
      </w:r>
    </w:p>
    <w:p w14:paraId="2CA612D4">
      <w:pPr>
        <w:pStyle w:val="7"/>
        <w:spacing w:before="0" w:line="360" w:lineRule="auto"/>
        <w:ind w:firstLine="480"/>
        <w:rPr>
          <w:color w:val="auto"/>
        </w:rPr>
      </w:pPr>
      <w:r>
        <w:rPr>
          <w:color w:val="auto"/>
        </w:rPr>
        <w:t>（二）建设过程及环保审批情况</w:t>
      </w:r>
    </w:p>
    <w:p w14:paraId="5B73A90A">
      <w:pPr>
        <w:pStyle w:val="7"/>
        <w:spacing w:before="0" w:line="360" w:lineRule="auto"/>
        <w:ind w:firstLine="480"/>
        <w:rPr>
          <w:rFonts w:hint="eastAsia"/>
          <w:color w:val="auto"/>
        </w:rPr>
      </w:pPr>
      <w:r>
        <w:rPr>
          <w:rFonts w:hint="eastAsia"/>
          <w:color w:val="auto"/>
        </w:rPr>
        <w:t>项目于2025年7月完成环评，在2025年8月12日获得潜山市生态环境分局《关于年加工5000吨植物油脂肪酸项目环境影响报告表的批复》（潜环审(2025)17号）。企业于2025年8月进行排污许可证，证书编号:91340824MAE83HP44X001U。</w:t>
      </w:r>
    </w:p>
    <w:p w14:paraId="4991BF3A">
      <w:pPr>
        <w:pStyle w:val="7"/>
        <w:spacing w:before="0" w:line="360" w:lineRule="auto"/>
        <w:ind w:firstLine="480"/>
        <w:rPr>
          <w:rFonts w:hint="eastAsia"/>
          <w:color w:val="auto"/>
        </w:rPr>
      </w:pPr>
      <w:r>
        <w:rPr>
          <w:rFonts w:hint="eastAsia"/>
          <w:color w:val="auto"/>
        </w:rPr>
        <w:t>企业在2025年8月下旬开展本项目的竣工环保验收监测工作。2025年8月25日-8月26日安徽诚诺检测科技有限公司有限公司开展了废气、废水和噪声的现场检测。（CMA:221212052044）</w:t>
      </w:r>
    </w:p>
    <w:p w14:paraId="2DB47BC7">
      <w:pPr>
        <w:pStyle w:val="7"/>
        <w:spacing w:before="0" w:line="360" w:lineRule="auto"/>
        <w:ind w:firstLine="480"/>
        <w:rPr>
          <w:color w:val="auto"/>
        </w:rPr>
      </w:pPr>
      <w:r>
        <w:rPr>
          <w:color w:val="auto"/>
        </w:rPr>
        <w:t>（</w:t>
      </w:r>
      <w:r>
        <w:rPr>
          <w:rFonts w:hint="eastAsia"/>
          <w:color w:val="auto"/>
        </w:rPr>
        <w:t>三</w:t>
      </w:r>
      <w:r>
        <w:rPr>
          <w:color w:val="auto"/>
        </w:rPr>
        <w:t>）</w:t>
      </w:r>
      <w:r>
        <w:rPr>
          <w:rFonts w:hint="eastAsia"/>
          <w:color w:val="auto"/>
        </w:rPr>
        <w:t>投资情况</w:t>
      </w:r>
    </w:p>
    <w:p w14:paraId="39CA5E22">
      <w:pPr>
        <w:pStyle w:val="7"/>
        <w:spacing w:before="0" w:line="360" w:lineRule="auto"/>
        <w:ind w:firstLine="480"/>
        <w:rPr>
          <w:color w:val="auto"/>
        </w:rPr>
      </w:pPr>
      <w:r>
        <w:rPr>
          <w:rFonts w:hint="eastAsia"/>
          <w:color w:val="auto"/>
        </w:rPr>
        <w:t>本</w:t>
      </w:r>
      <w:r>
        <w:rPr>
          <w:color w:val="auto"/>
        </w:rPr>
        <w:t>项目</w:t>
      </w:r>
      <w:r>
        <w:rPr>
          <w:rFonts w:hint="eastAsia"/>
          <w:color w:val="auto"/>
        </w:rPr>
        <w:t>实际</w:t>
      </w:r>
      <w:r>
        <w:rPr>
          <w:color w:val="auto"/>
        </w:rPr>
        <w:t>总投资</w:t>
      </w:r>
      <w:r>
        <w:rPr>
          <w:rFonts w:hint="eastAsia"/>
          <w:color w:val="auto"/>
        </w:rPr>
        <w:t>额</w:t>
      </w:r>
      <w:r>
        <w:rPr>
          <w:color w:val="auto"/>
        </w:rPr>
        <w:t>为</w:t>
      </w:r>
      <w:r>
        <w:rPr>
          <w:rFonts w:hint="eastAsia"/>
          <w:color w:val="auto"/>
          <w:lang w:val="en-US" w:eastAsia="zh-CN"/>
        </w:rPr>
        <w:t>10000</w:t>
      </w:r>
      <w:r>
        <w:rPr>
          <w:color w:val="auto"/>
        </w:rPr>
        <w:t>万元，其中环保投资</w:t>
      </w:r>
      <w:r>
        <w:rPr>
          <w:rFonts w:hint="eastAsia"/>
          <w:color w:val="auto"/>
          <w:lang w:val="en-US" w:eastAsia="zh-CN"/>
        </w:rPr>
        <w:t>30</w:t>
      </w:r>
      <w:r>
        <w:rPr>
          <w:color w:val="auto"/>
        </w:rPr>
        <w:t>万元。</w:t>
      </w:r>
    </w:p>
    <w:p w14:paraId="5C433AA3">
      <w:pPr>
        <w:pStyle w:val="7"/>
        <w:spacing w:before="0" w:line="360" w:lineRule="auto"/>
        <w:ind w:firstLine="480"/>
        <w:rPr>
          <w:color w:val="auto"/>
        </w:rPr>
      </w:pPr>
      <w:r>
        <w:rPr>
          <w:color w:val="auto"/>
        </w:rPr>
        <w:t>（</w:t>
      </w:r>
      <w:r>
        <w:rPr>
          <w:rFonts w:hint="eastAsia"/>
          <w:color w:val="auto"/>
        </w:rPr>
        <w:t>四</w:t>
      </w:r>
      <w:r>
        <w:rPr>
          <w:color w:val="auto"/>
        </w:rPr>
        <w:t>）验收范围</w:t>
      </w:r>
    </w:p>
    <w:p w14:paraId="205C8419">
      <w:pPr>
        <w:pStyle w:val="7"/>
        <w:spacing w:before="0" w:line="360" w:lineRule="auto"/>
        <w:ind w:firstLine="480"/>
        <w:rPr>
          <w:color w:val="auto"/>
        </w:rPr>
      </w:pPr>
      <w:r>
        <w:rPr>
          <w:rFonts w:hint="eastAsia" w:ascii="Times New Roman" w:hAnsi="Times New Roman" w:eastAsia="宋体" w:cs="Times New Roman"/>
          <w:sz w:val="24"/>
          <w:szCs w:val="24"/>
          <w:lang w:val="en-US" w:eastAsia="zh-CN" w:bidi="ar"/>
        </w:rPr>
        <w:t>本次验收范围为年加工5000吨米糠油脂肪酸生产线所对应的全部工程内容及其配套环保设施等</w:t>
      </w:r>
      <w:r>
        <w:rPr>
          <w:rFonts w:hint="eastAsia"/>
          <w:color w:val="auto"/>
        </w:rPr>
        <w:t>。</w:t>
      </w:r>
    </w:p>
    <w:p w14:paraId="1507A433">
      <w:pPr>
        <w:pStyle w:val="21"/>
        <w:spacing w:before="0" w:beforeAutospacing="0" w:after="0" w:afterAutospacing="0" w:line="360" w:lineRule="auto"/>
        <w:ind w:firstLine="482" w:firstLineChars="200"/>
        <w:outlineLvl w:val="0"/>
        <w:rPr>
          <w:b/>
          <w:color w:val="auto"/>
        </w:rPr>
      </w:pPr>
      <w:r>
        <w:rPr>
          <w:rFonts w:hint="eastAsia"/>
          <w:b/>
          <w:color w:val="auto"/>
        </w:rPr>
        <w:t>二、工程变动情况</w:t>
      </w:r>
    </w:p>
    <w:p w14:paraId="6DAFA4D4">
      <w:pPr>
        <w:spacing w:line="360" w:lineRule="auto"/>
        <w:ind w:firstLine="480" w:firstLineChars="200"/>
        <w:outlineLvl w:val="0"/>
        <w:rPr>
          <w:rFonts w:hint="eastAsia" w:ascii="宋体" w:hAnsi="宋体" w:cs="宋体"/>
          <w:bCs/>
          <w:color w:val="auto"/>
          <w:sz w:val="24"/>
        </w:rPr>
      </w:pPr>
      <w:r>
        <w:rPr>
          <w:rFonts w:hint="eastAsia" w:ascii="宋体" w:hAnsi="宋体" w:cs="宋体"/>
          <w:bCs/>
          <w:color w:val="auto"/>
          <w:sz w:val="24"/>
        </w:rPr>
        <w:t>本项目环评建设内容与现场实际一致，无变化。项目建设过程中结合实际情况发生变动情况见表2.1-7。其余建设内容与环评一致。对照《污染影响类建设项目重大变动清单（试行）》，本项目无重大变更，因此无需重新报批环评。</w:t>
      </w:r>
    </w:p>
    <w:p w14:paraId="76C3341B">
      <w:pPr>
        <w:pStyle w:val="25"/>
        <w:keepNext w:val="0"/>
        <w:keepLines w:val="0"/>
        <w:suppressLineNumbers w:val="0"/>
        <w:bidi w:val="0"/>
        <w:spacing w:before="0" w:beforeAutospacing="0" w:after="0" w:afterAutospacing="0"/>
        <w:ind w:left="0" w:right="0"/>
        <w:rPr>
          <w:rFonts w:hint="eastAsia" w:ascii="宋体" w:hAnsi="宋体" w:eastAsia="Times New Roman" w:cs="Times New Roman"/>
          <w:sz w:val="24"/>
          <w:szCs w:val="24"/>
          <w:lang w:eastAsia="zh-CN"/>
        </w:rPr>
      </w:pPr>
      <w:r>
        <w:rPr>
          <w:rFonts w:hint="eastAsia" w:ascii="宋体" w:hAnsi="宋体" w:eastAsia="Times New Roman" w:cs="Times New Roman"/>
          <w:sz w:val="24"/>
          <w:szCs w:val="24"/>
          <w:lang w:eastAsia="zh-CN"/>
        </w:rPr>
        <w:t>表</w:t>
      </w:r>
      <w:r>
        <w:rPr>
          <w:rFonts w:hint="eastAsia" w:ascii="宋体" w:hAnsi="宋体" w:eastAsia="Times New Roman" w:cs="Times New Roman"/>
          <w:sz w:val="24"/>
          <w:szCs w:val="24"/>
          <w:lang w:val="en-US" w:eastAsia="zh-CN"/>
        </w:rPr>
        <w:t>1</w:t>
      </w:r>
      <w:r>
        <w:rPr>
          <w:rFonts w:hint="eastAsia" w:ascii="宋体" w:hAnsi="宋体" w:eastAsia="Times New Roman" w:cs="Times New Roman"/>
          <w:sz w:val="24"/>
          <w:szCs w:val="24"/>
          <w:lang w:eastAsia="zh-CN"/>
        </w:rPr>
        <w:t xml:space="preserve"> 项目变动与《污染影响类建设项目重大变动清单（试行）》对照表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
        <w:gridCol w:w="3728"/>
        <w:gridCol w:w="2606"/>
        <w:gridCol w:w="1747"/>
      </w:tblGrid>
      <w:tr w14:paraId="5D49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7384E925">
            <w:pPr>
              <w:pStyle w:val="24"/>
              <w:keepNext w:val="0"/>
              <w:keepLines w:val="0"/>
              <w:suppressLineNumbers w:val="0"/>
              <w:bidi w:val="0"/>
              <w:spacing w:before="0" w:beforeAutospacing="0" w:after="0" w:afterAutospacing="0"/>
              <w:ind w:left="0" w:right="0"/>
              <w:jc w:val="center"/>
              <w:rPr>
                <w:rFonts w:hint="default"/>
              </w:rPr>
            </w:pPr>
            <w:r>
              <w:rPr>
                <w:rFonts w:hint="eastAsia"/>
              </w:rPr>
              <w:t>序号</w:t>
            </w:r>
          </w:p>
        </w:tc>
        <w:tc>
          <w:tcPr>
            <w:tcW w:w="3632" w:type="dxa"/>
            <w:noWrap w:val="0"/>
            <w:vAlign w:val="center"/>
          </w:tcPr>
          <w:p w14:paraId="61FE19E9">
            <w:pPr>
              <w:pStyle w:val="24"/>
              <w:keepNext w:val="0"/>
              <w:keepLines w:val="0"/>
              <w:suppressLineNumbers w:val="0"/>
              <w:bidi w:val="0"/>
              <w:spacing w:before="0" w:beforeAutospacing="0" w:after="0" w:afterAutospacing="0"/>
              <w:ind w:left="0" w:right="0"/>
              <w:jc w:val="center"/>
              <w:rPr>
                <w:rFonts w:hint="eastAsia"/>
              </w:rPr>
            </w:pPr>
            <w:r>
              <w:rPr>
                <w:rFonts w:hint="eastAsia"/>
              </w:rPr>
              <w:t>《污染影响类建设项目重大变动清单（试行）》</w:t>
            </w:r>
          </w:p>
        </w:tc>
        <w:tc>
          <w:tcPr>
            <w:tcW w:w="2539" w:type="dxa"/>
            <w:noWrap w:val="0"/>
            <w:vAlign w:val="center"/>
          </w:tcPr>
          <w:p w14:paraId="2D1025D0">
            <w:pPr>
              <w:pStyle w:val="24"/>
              <w:keepNext w:val="0"/>
              <w:keepLines w:val="0"/>
              <w:suppressLineNumbers w:val="0"/>
              <w:bidi w:val="0"/>
              <w:spacing w:before="0" w:beforeAutospacing="0" w:after="0" w:afterAutospacing="0"/>
              <w:ind w:left="0" w:right="0"/>
              <w:jc w:val="center"/>
              <w:rPr>
                <w:rFonts w:hint="default"/>
              </w:rPr>
            </w:pPr>
            <w:r>
              <w:rPr>
                <w:rFonts w:hint="eastAsia"/>
                <w:lang w:val="en-US" w:eastAsia="zh-CN"/>
              </w:rPr>
              <w:t>本项目</w:t>
            </w:r>
            <w:r>
              <w:rPr>
                <w:rFonts w:hint="eastAsia"/>
              </w:rPr>
              <w:t>实际建设内容</w:t>
            </w:r>
          </w:p>
        </w:tc>
        <w:tc>
          <w:tcPr>
            <w:tcW w:w="1701" w:type="dxa"/>
            <w:noWrap w:val="0"/>
            <w:vAlign w:val="center"/>
          </w:tcPr>
          <w:p w14:paraId="761C272B">
            <w:pPr>
              <w:pStyle w:val="24"/>
              <w:keepNext w:val="0"/>
              <w:keepLines w:val="0"/>
              <w:suppressLineNumbers w:val="0"/>
              <w:bidi w:val="0"/>
              <w:spacing w:before="0" w:beforeAutospacing="0" w:after="0" w:afterAutospacing="0"/>
              <w:ind w:left="0" w:right="0"/>
              <w:jc w:val="center"/>
              <w:rPr>
                <w:rFonts w:hint="eastAsia"/>
                <w:lang w:eastAsia="zh-CN"/>
              </w:rPr>
            </w:pPr>
            <w:r>
              <w:rPr>
                <w:rFonts w:hint="eastAsia"/>
                <w:lang w:eastAsia="zh-CN"/>
              </w:rPr>
              <w:t>是否发生重大变动</w:t>
            </w:r>
          </w:p>
        </w:tc>
      </w:tr>
      <w:tr w14:paraId="4703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71A37BE1">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1</w:t>
            </w:r>
          </w:p>
        </w:tc>
        <w:tc>
          <w:tcPr>
            <w:tcW w:w="3632" w:type="dxa"/>
            <w:noWrap w:val="0"/>
            <w:vAlign w:val="center"/>
          </w:tcPr>
          <w:p w14:paraId="6A8BB0A1">
            <w:pPr>
              <w:pStyle w:val="24"/>
              <w:keepNext w:val="0"/>
              <w:keepLines w:val="0"/>
              <w:suppressLineNumbers w:val="0"/>
              <w:bidi w:val="0"/>
              <w:spacing w:before="0" w:beforeAutospacing="0" w:after="0" w:afterAutospacing="0"/>
              <w:ind w:left="0" w:right="0"/>
              <w:jc w:val="both"/>
              <w:rPr>
                <w:rFonts w:hint="eastAsia"/>
              </w:rPr>
            </w:pPr>
            <w:r>
              <w:rPr>
                <w:rFonts w:hint="eastAsia"/>
              </w:rPr>
              <w:t>1.建设项目开发、使用功能发生变化的。</w:t>
            </w:r>
          </w:p>
        </w:tc>
        <w:tc>
          <w:tcPr>
            <w:tcW w:w="2539" w:type="dxa"/>
            <w:noWrap w:val="0"/>
            <w:vAlign w:val="center"/>
          </w:tcPr>
          <w:p w14:paraId="6E3EE69B">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w:t>
            </w:r>
            <w:r>
              <w:rPr>
                <w:rFonts w:hint="eastAsia"/>
              </w:rPr>
              <w:t>建设项目开发、使用功能</w:t>
            </w:r>
            <w:r>
              <w:rPr>
                <w:rFonts w:hint="eastAsia"/>
                <w:lang w:val="en-US" w:eastAsia="zh-CN"/>
              </w:rPr>
              <w:t>无</w:t>
            </w:r>
            <w:r>
              <w:rPr>
                <w:rFonts w:hint="eastAsia"/>
              </w:rPr>
              <w:t>变化。</w:t>
            </w:r>
          </w:p>
        </w:tc>
        <w:tc>
          <w:tcPr>
            <w:tcW w:w="1701" w:type="dxa"/>
            <w:noWrap w:val="0"/>
            <w:vAlign w:val="center"/>
          </w:tcPr>
          <w:p w14:paraId="768C4BDE">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与环评一致，未</w:t>
            </w:r>
            <w:r>
              <w:rPr>
                <w:rFonts w:hint="eastAsia"/>
                <w:lang w:eastAsia="zh-CN"/>
              </w:rPr>
              <w:t>发生重大变动</w:t>
            </w:r>
          </w:p>
        </w:tc>
      </w:tr>
      <w:tr w14:paraId="7822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33DE6749">
            <w:pPr>
              <w:pStyle w:val="24"/>
              <w:keepNext w:val="0"/>
              <w:keepLines w:val="0"/>
              <w:suppressLineNumbers w:val="0"/>
              <w:bidi w:val="0"/>
              <w:spacing w:before="0" w:beforeAutospacing="0" w:after="0" w:afterAutospacing="0"/>
              <w:ind w:left="0" w:right="0"/>
              <w:jc w:val="both"/>
              <w:rPr>
                <w:rFonts w:hint="eastAsia" w:eastAsia="宋体"/>
                <w:lang w:eastAsia="zh-CN"/>
              </w:rPr>
            </w:pPr>
            <w:r>
              <w:rPr>
                <w:rFonts w:hint="eastAsia"/>
                <w:lang w:val="en-US" w:eastAsia="zh-CN"/>
              </w:rPr>
              <w:t>2</w:t>
            </w:r>
          </w:p>
        </w:tc>
        <w:tc>
          <w:tcPr>
            <w:tcW w:w="3632" w:type="dxa"/>
            <w:noWrap w:val="0"/>
            <w:vAlign w:val="center"/>
          </w:tcPr>
          <w:p w14:paraId="66E5510C">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w:t>
            </w:r>
            <w:r>
              <w:rPr>
                <w:rFonts w:hint="default"/>
                <w:lang w:val="en-US" w:eastAsia="zh-CN"/>
              </w:rPr>
              <w:t>生产、处置或储存能力增大30%及以上的。</w:t>
            </w:r>
          </w:p>
          <w:p w14:paraId="71E13125">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2.</w:t>
            </w:r>
            <w:r>
              <w:rPr>
                <w:rFonts w:hint="default"/>
                <w:lang w:val="en-US" w:eastAsia="zh-CN"/>
              </w:rPr>
              <w:t>生产、处置或储存能力增大，导致废水第一类污染物排放量增加的。</w:t>
            </w:r>
          </w:p>
          <w:p w14:paraId="22480B4F">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3.</w:t>
            </w:r>
            <w:r>
              <w:rPr>
                <w:rFonts w:hint="default"/>
                <w:lang w:val="en-US" w:eastAsia="zh-CN"/>
              </w:rPr>
              <w:t>位于环境质量不达标区的建设项目生产、处置或储存能力增大，导致相应污染物排放量增加的</w:t>
            </w:r>
            <w:r>
              <w:rPr>
                <w:rFonts w:hint="eastAsia"/>
                <w:lang w:val="en-US" w:eastAsia="zh-CN"/>
              </w:rPr>
              <w:t>；位于达标区的建设项目生产、处置或储存能力增大，导致污染物排放量增加10%及以上的。</w:t>
            </w:r>
          </w:p>
        </w:tc>
        <w:tc>
          <w:tcPr>
            <w:tcW w:w="2539" w:type="dxa"/>
            <w:noWrap w:val="0"/>
            <w:vAlign w:val="center"/>
          </w:tcPr>
          <w:p w14:paraId="11C9D49D">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本项目生产</w:t>
            </w:r>
            <w:r>
              <w:rPr>
                <w:rFonts w:hint="default"/>
                <w:lang w:val="en-US" w:eastAsia="zh-CN"/>
              </w:rPr>
              <w:t>、处置或储存能力</w:t>
            </w:r>
            <w:r>
              <w:rPr>
                <w:rFonts w:hint="eastAsia"/>
                <w:lang w:val="en-US" w:eastAsia="zh-CN"/>
              </w:rPr>
              <w:t>未</w:t>
            </w:r>
            <w:r>
              <w:rPr>
                <w:rFonts w:hint="default"/>
                <w:lang w:val="en-US" w:eastAsia="zh-CN"/>
              </w:rPr>
              <w:t>增大</w:t>
            </w:r>
            <w:r>
              <w:rPr>
                <w:rFonts w:hint="eastAsia"/>
                <w:lang w:val="en-US" w:eastAsia="zh-CN"/>
              </w:rPr>
              <w:t>，污染物排放量未增加。</w:t>
            </w:r>
          </w:p>
        </w:tc>
        <w:tc>
          <w:tcPr>
            <w:tcW w:w="1701" w:type="dxa"/>
            <w:noWrap w:val="0"/>
            <w:vAlign w:val="center"/>
          </w:tcPr>
          <w:p w14:paraId="32857DFD">
            <w:pPr>
              <w:pStyle w:val="24"/>
              <w:keepNext w:val="0"/>
              <w:keepLines w:val="0"/>
              <w:suppressLineNumbers w:val="0"/>
              <w:bidi w:val="0"/>
              <w:spacing w:before="0" w:beforeAutospacing="0" w:after="0" w:afterAutospacing="0"/>
              <w:ind w:left="0" w:right="0"/>
              <w:jc w:val="both"/>
              <w:rPr>
                <w:rFonts w:hint="eastAsia"/>
              </w:rPr>
            </w:pPr>
            <w:r>
              <w:rPr>
                <w:rFonts w:hint="eastAsia"/>
                <w:lang w:val="en-US" w:eastAsia="zh-CN"/>
              </w:rPr>
              <w:t>与环评一致，未</w:t>
            </w:r>
            <w:r>
              <w:rPr>
                <w:rFonts w:hint="eastAsia"/>
                <w:lang w:eastAsia="zh-CN"/>
              </w:rPr>
              <w:t>发生重大变动</w:t>
            </w:r>
          </w:p>
        </w:tc>
      </w:tr>
      <w:tr w14:paraId="7B48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641000BD">
            <w:pPr>
              <w:pStyle w:val="24"/>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3</w:t>
            </w:r>
          </w:p>
        </w:tc>
        <w:tc>
          <w:tcPr>
            <w:tcW w:w="3632" w:type="dxa"/>
            <w:noWrap w:val="0"/>
            <w:vAlign w:val="center"/>
          </w:tcPr>
          <w:p w14:paraId="3488DBD8">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重新选址；在原厂址附近调整（包括总平面布置变化）导致环境防护距离范围变化且新增敏感点的。</w:t>
            </w:r>
          </w:p>
        </w:tc>
        <w:tc>
          <w:tcPr>
            <w:tcW w:w="2539" w:type="dxa"/>
            <w:noWrap w:val="0"/>
            <w:vAlign w:val="center"/>
          </w:tcPr>
          <w:p w14:paraId="739B9B55">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本项目位于安庆市潜山市梅城镇潘铺生态工业园区2幢现有厂区内，未重新选址</w:t>
            </w:r>
          </w:p>
        </w:tc>
        <w:tc>
          <w:tcPr>
            <w:tcW w:w="1701" w:type="dxa"/>
            <w:noWrap w:val="0"/>
            <w:vAlign w:val="center"/>
          </w:tcPr>
          <w:p w14:paraId="15559263">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与环评一致，未</w:t>
            </w:r>
            <w:r>
              <w:rPr>
                <w:rFonts w:hint="eastAsia"/>
                <w:lang w:eastAsia="zh-CN"/>
              </w:rPr>
              <w:t>发生重大变动</w:t>
            </w:r>
          </w:p>
        </w:tc>
      </w:tr>
      <w:tr w14:paraId="6BCD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497CEA9C">
            <w:pPr>
              <w:pStyle w:val="24"/>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4</w:t>
            </w:r>
          </w:p>
        </w:tc>
        <w:tc>
          <w:tcPr>
            <w:tcW w:w="3632" w:type="dxa"/>
            <w:noWrap w:val="0"/>
            <w:vAlign w:val="center"/>
          </w:tcPr>
          <w:p w14:paraId="6E6AA892">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新增产品品种或生产工艺（含主要生产装置、设备及配套设施）、主要原辅材料、燃料变化，导致以下情形之一：</w:t>
            </w:r>
          </w:p>
          <w:p w14:paraId="27580B94">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（1）新增排放污染物种类的（毒性、挥发性降低的除外）；</w:t>
            </w:r>
          </w:p>
          <w:p w14:paraId="0F3BD4A4">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（2）位于环境质量不达标区的建设项目相应污染物排放量增加的；</w:t>
            </w:r>
          </w:p>
          <w:p w14:paraId="3BF9FA47">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（3）废水第一类污染物排放量增加的；</w:t>
            </w:r>
          </w:p>
          <w:p w14:paraId="4B7921C2">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（4）其他污染物排放量增加10%及以上的。</w:t>
            </w:r>
          </w:p>
        </w:tc>
        <w:tc>
          <w:tcPr>
            <w:tcW w:w="2539" w:type="dxa"/>
            <w:noWrap w:val="0"/>
            <w:vAlign w:val="center"/>
          </w:tcPr>
          <w:p w14:paraId="09D1C627">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本项目实际建设与环评一致，无所列情形。</w:t>
            </w:r>
          </w:p>
        </w:tc>
        <w:tc>
          <w:tcPr>
            <w:tcW w:w="1701" w:type="dxa"/>
            <w:noWrap w:val="0"/>
            <w:vAlign w:val="center"/>
          </w:tcPr>
          <w:p w14:paraId="44779387">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与环评一致，未</w:t>
            </w:r>
            <w:r>
              <w:rPr>
                <w:rFonts w:hint="eastAsia"/>
                <w:lang w:eastAsia="zh-CN"/>
              </w:rPr>
              <w:t>发生重大变动</w:t>
            </w:r>
          </w:p>
        </w:tc>
      </w:tr>
      <w:tr w14:paraId="199B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56E97259">
            <w:pPr>
              <w:pStyle w:val="24"/>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5</w:t>
            </w:r>
          </w:p>
        </w:tc>
        <w:tc>
          <w:tcPr>
            <w:tcW w:w="3632" w:type="dxa"/>
            <w:noWrap w:val="0"/>
            <w:vAlign w:val="center"/>
          </w:tcPr>
          <w:p w14:paraId="342758AC">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物料运输、装卸、贮存方式变化，导致大气污染物无组织排放量增加10%及以上的。</w:t>
            </w:r>
          </w:p>
        </w:tc>
        <w:tc>
          <w:tcPr>
            <w:tcW w:w="2539" w:type="dxa"/>
            <w:noWrap w:val="0"/>
            <w:vAlign w:val="center"/>
          </w:tcPr>
          <w:p w14:paraId="6ABBAF40">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本项目实际生产相较于环评，物料运输、装卸、贮存方式未发生变化</w:t>
            </w:r>
          </w:p>
        </w:tc>
        <w:tc>
          <w:tcPr>
            <w:tcW w:w="1701" w:type="dxa"/>
            <w:noWrap w:val="0"/>
            <w:vAlign w:val="center"/>
          </w:tcPr>
          <w:p w14:paraId="12849A0C">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与环评一致，未</w:t>
            </w:r>
            <w:r>
              <w:rPr>
                <w:rFonts w:hint="eastAsia"/>
                <w:lang w:eastAsia="zh-CN"/>
              </w:rPr>
              <w:t>发生重大变动</w:t>
            </w:r>
          </w:p>
        </w:tc>
      </w:tr>
      <w:tr w14:paraId="47D1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36C95F72">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6</w:t>
            </w:r>
          </w:p>
        </w:tc>
        <w:tc>
          <w:tcPr>
            <w:tcW w:w="3632" w:type="dxa"/>
            <w:noWrap w:val="0"/>
            <w:vAlign w:val="center"/>
          </w:tcPr>
          <w:p w14:paraId="6F222D20">
            <w:pPr>
              <w:pStyle w:val="24"/>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废气、废水污染防治措施变化，导致第6条中所列情形之一（废气无组织排放改为有组织排放、污染防治措施强化或改进的除外）或大气污染物无组织排放量增加10%及以上的。</w:t>
            </w:r>
          </w:p>
        </w:tc>
        <w:tc>
          <w:tcPr>
            <w:tcW w:w="2539" w:type="dxa"/>
            <w:noWrap w:val="0"/>
            <w:vAlign w:val="center"/>
          </w:tcPr>
          <w:p w14:paraId="600EFD10">
            <w:pPr>
              <w:pStyle w:val="24"/>
              <w:keepNext w:val="0"/>
              <w:keepLines w:val="0"/>
              <w:suppressLineNumbers w:val="0"/>
              <w:bidi w:val="0"/>
              <w:spacing w:before="0" w:beforeAutospacing="0" w:after="0" w:afterAutospacing="0"/>
              <w:ind w:left="0" w:leftChars="0" w:right="0" w:rightChars="0" w:firstLine="0" w:firstLineChars="0"/>
              <w:jc w:val="both"/>
              <w:rPr>
                <w:rFonts w:hint="eastAsia"/>
                <w:lang w:val="en-US" w:eastAsia="zh-CN"/>
              </w:rPr>
            </w:pPr>
            <w:r>
              <w:rPr>
                <w:rFonts w:hint="eastAsia"/>
                <w:lang w:val="en-US" w:eastAsia="zh-CN"/>
              </w:rPr>
              <w:t>本项目实际建设与环评一致，无所列情形。</w:t>
            </w:r>
          </w:p>
        </w:tc>
        <w:tc>
          <w:tcPr>
            <w:tcW w:w="1701" w:type="dxa"/>
            <w:noWrap w:val="0"/>
            <w:vAlign w:val="center"/>
          </w:tcPr>
          <w:p w14:paraId="65BE2A77">
            <w:pPr>
              <w:pStyle w:val="24"/>
              <w:keepNext w:val="0"/>
              <w:keepLines w:val="0"/>
              <w:suppressLineNumbers w:val="0"/>
              <w:bidi w:val="0"/>
              <w:spacing w:before="0" w:beforeAutospacing="0" w:after="0" w:afterAutospacing="0"/>
              <w:ind w:left="0" w:leftChars="0" w:right="0" w:rightChars="0" w:firstLine="0" w:firstLineChars="0"/>
              <w:jc w:val="both"/>
              <w:rPr>
                <w:rFonts w:hint="eastAsia"/>
                <w:lang w:eastAsia="zh-CN"/>
              </w:rPr>
            </w:pPr>
            <w:r>
              <w:rPr>
                <w:rFonts w:hint="eastAsia"/>
                <w:lang w:val="en-US" w:eastAsia="zh-CN"/>
              </w:rPr>
              <w:t>与环评一致，未</w:t>
            </w:r>
            <w:r>
              <w:rPr>
                <w:rFonts w:hint="eastAsia"/>
                <w:lang w:eastAsia="zh-CN"/>
              </w:rPr>
              <w:t>发生重大变动</w:t>
            </w:r>
          </w:p>
        </w:tc>
      </w:tr>
      <w:tr w14:paraId="60DF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406C6EDA">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7</w:t>
            </w:r>
          </w:p>
        </w:tc>
        <w:tc>
          <w:tcPr>
            <w:tcW w:w="3632" w:type="dxa"/>
            <w:noWrap w:val="0"/>
            <w:vAlign w:val="center"/>
          </w:tcPr>
          <w:p w14:paraId="573A2269">
            <w:pPr>
              <w:pStyle w:val="24"/>
              <w:keepNext w:val="0"/>
              <w:keepLines w:val="0"/>
              <w:suppressLineNumbers w:val="0"/>
              <w:bidi w:val="0"/>
              <w:spacing w:before="0" w:beforeAutospacing="0" w:after="0" w:afterAutospacing="0"/>
              <w:ind w:left="0" w:right="0"/>
              <w:jc w:val="both"/>
              <w:rPr>
                <w:rFonts w:hint="eastAsia"/>
              </w:rPr>
            </w:pPr>
            <w:r>
              <w:rPr>
                <w:rFonts w:hint="eastAsia"/>
              </w:rPr>
              <w:t>新增废水直接排放口；废水由间接排放改为直接排放；废水直接排放口位置变化，导致不利环境影响加重的。</w:t>
            </w:r>
          </w:p>
        </w:tc>
        <w:tc>
          <w:tcPr>
            <w:tcW w:w="2539" w:type="dxa"/>
            <w:noWrap w:val="0"/>
            <w:vAlign w:val="center"/>
          </w:tcPr>
          <w:p w14:paraId="4078B519">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本项目不新增</w:t>
            </w:r>
            <w:r>
              <w:rPr>
                <w:rFonts w:hint="eastAsia"/>
              </w:rPr>
              <w:t>直接排放口</w:t>
            </w:r>
            <w:r>
              <w:rPr>
                <w:rFonts w:hint="eastAsia"/>
                <w:lang w:eastAsia="zh-CN"/>
              </w:rPr>
              <w:t>，</w:t>
            </w:r>
            <w:r>
              <w:rPr>
                <w:rFonts w:hint="eastAsia"/>
              </w:rPr>
              <w:t>废水</w:t>
            </w:r>
            <w:r>
              <w:rPr>
                <w:rFonts w:hint="default"/>
              </w:rPr>
              <w:t>经污水管网排入</w:t>
            </w:r>
            <w:r>
              <w:rPr>
                <w:rFonts w:hint="eastAsia"/>
                <w:lang w:val="en-US" w:eastAsia="zh-CN"/>
              </w:rPr>
              <w:t>潜山市</w:t>
            </w:r>
            <w:r>
              <w:rPr>
                <w:rFonts w:hint="default"/>
              </w:rPr>
              <w:t>污水处理厂处理。</w:t>
            </w:r>
          </w:p>
        </w:tc>
        <w:tc>
          <w:tcPr>
            <w:tcW w:w="1701" w:type="dxa"/>
            <w:noWrap w:val="0"/>
            <w:vAlign w:val="center"/>
          </w:tcPr>
          <w:p w14:paraId="0AC6BFE8">
            <w:pPr>
              <w:pStyle w:val="24"/>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49AA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2FF1D629">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8</w:t>
            </w:r>
          </w:p>
        </w:tc>
        <w:tc>
          <w:tcPr>
            <w:tcW w:w="3632" w:type="dxa"/>
            <w:noWrap w:val="0"/>
            <w:vAlign w:val="center"/>
          </w:tcPr>
          <w:p w14:paraId="244947A0">
            <w:pPr>
              <w:pStyle w:val="24"/>
              <w:keepNext w:val="0"/>
              <w:keepLines w:val="0"/>
              <w:suppressLineNumbers w:val="0"/>
              <w:bidi w:val="0"/>
              <w:spacing w:before="0" w:beforeAutospacing="0" w:after="0" w:afterAutospacing="0"/>
              <w:ind w:left="0" w:right="0"/>
              <w:jc w:val="both"/>
              <w:rPr>
                <w:rFonts w:hint="eastAsia"/>
              </w:rPr>
            </w:pPr>
            <w:r>
              <w:rPr>
                <w:rFonts w:hint="eastAsia"/>
              </w:rPr>
              <w:t>新增废气主要排放口（废气无组织排放改为有组织排放的除外）；主要排放口排气筒高度降低10%及以上的。</w:t>
            </w:r>
          </w:p>
        </w:tc>
        <w:tc>
          <w:tcPr>
            <w:tcW w:w="2539" w:type="dxa"/>
            <w:noWrap w:val="0"/>
            <w:vAlign w:val="center"/>
          </w:tcPr>
          <w:p w14:paraId="40FEBE91">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本项目无排气筒</w:t>
            </w:r>
          </w:p>
        </w:tc>
        <w:tc>
          <w:tcPr>
            <w:tcW w:w="1701" w:type="dxa"/>
            <w:noWrap w:val="0"/>
            <w:vAlign w:val="center"/>
          </w:tcPr>
          <w:p w14:paraId="48636D76">
            <w:pPr>
              <w:pStyle w:val="24"/>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6F9D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7074F24E">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9</w:t>
            </w:r>
          </w:p>
        </w:tc>
        <w:tc>
          <w:tcPr>
            <w:tcW w:w="3632" w:type="dxa"/>
            <w:noWrap w:val="0"/>
            <w:vAlign w:val="center"/>
          </w:tcPr>
          <w:p w14:paraId="4DB61209">
            <w:pPr>
              <w:pStyle w:val="24"/>
              <w:keepNext w:val="0"/>
              <w:keepLines w:val="0"/>
              <w:suppressLineNumbers w:val="0"/>
              <w:bidi w:val="0"/>
              <w:spacing w:before="0" w:beforeAutospacing="0" w:after="0" w:afterAutospacing="0"/>
              <w:ind w:left="0" w:right="0"/>
              <w:jc w:val="both"/>
              <w:rPr>
                <w:rFonts w:hint="eastAsia"/>
              </w:rPr>
            </w:pPr>
            <w:r>
              <w:rPr>
                <w:rFonts w:hint="eastAsia"/>
              </w:rPr>
              <w:t>噪声、土壤或地下水污染防治措施变化，导致不利环境影响加重的。</w:t>
            </w:r>
          </w:p>
        </w:tc>
        <w:tc>
          <w:tcPr>
            <w:tcW w:w="2539" w:type="dxa"/>
            <w:noWrap w:val="0"/>
            <w:vAlign w:val="center"/>
          </w:tcPr>
          <w:p w14:paraId="197F746C">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本项目实际建设相较于环评，</w:t>
            </w:r>
            <w:r>
              <w:rPr>
                <w:rFonts w:hint="eastAsia"/>
              </w:rPr>
              <w:t>噪声、土壤或地下水污染防治措施</w:t>
            </w:r>
            <w:r>
              <w:rPr>
                <w:rFonts w:hint="eastAsia"/>
                <w:lang w:val="en-US" w:eastAsia="zh-CN"/>
              </w:rPr>
              <w:t>未发生</w:t>
            </w:r>
            <w:r>
              <w:rPr>
                <w:rFonts w:hint="eastAsia"/>
              </w:rPr>
              <w:t>变化</w:t>
            </w:r>
          </w:p>
        </w:tc>
        <w:tc>
          <w:tcPr>
            <w:tcW w:w="1701" w:type="dxa"/>
            <w:noWrap w:val="0"/>
            <w:vAlign w:val="center"/>
          </w:tcPr>
          <w:p w14:paraId="4FC3C96A">
            <w:pPr>
              <w:pStyle w:val="24"/>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7F22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7AE20D77">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10</w:t>
            </w:r>
          </w:p>
        </w:tc>
        <w:tc>
          <w:tcPr>
            <w:tcW w:w="3632" w:type="dxa"/>
            <w:noWrap w:val="0"/>
            <w:vAlign w:val="center"/>
          </w:tcPr>
          <w:p w14:paraId="76624097">
            <w:pPr>
              <w:pStyle w:val="24"/>
              <w:keepNext w:val="0"/>
              <w:keepLines w:val="0"/>
              <w:suppressLineNumbers w:val="0"/>
              <w:bidi w:val="0"/>
              <w:spacing w:before="0" w:beforeAutospacing="0" w:after="0" w:afterAutospacing="0"/>
              <w:ind w:left="0" w:right="0"/>
              <w:jc w:val="both"/>
              <w:rPr>
                <w:rFonts w:hint="eastAsia"/>
              </w:rPr>
            </w:pPr>
            <w:r>
              <w:rPr>
                <w:rFonts w:hint="eastAsia"/>
              </w:rPr>
              <w:t>.固体废物利用处置方式由委托外单位利用处置改为自行利用处置的（自行利用处置设施单独开展环境影响评价的除外）；固体废物自行处置方式变化，导致不利环境影响加重的。</w:t>
            </w:r>
          </w:p>
        </w:tc>
        <w:tc>
          <w:tcPr>
            <w:tcW w:w="2539" w:type="dxa"/>
            <w:noWrap w:val="0"/>
            <w:vAlign w:val="center"/>
          </w:tcPr>
          <w:p w14:paraId="1E529450">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本项目实际生产相较于环评，</w:t>
            </w:r>
            <w:r>
              <w:rPr>
                <w:rFonts w:hint="eastAsia"/>
              </w:rPr>
              <w:t>固体废物利用处置方式</w:t>
            </w:r>
            <w:r>
              <w:rPr>
                <w:rFonts w:hint="eastAsia"/>
                <w:lang w:val="en-US" w:eastAsia="zh-CN"/>
              </w:rPr>
              <w:t>依旧为</w:t>
            </w:r>
            <w:r>
              <w:rPr>
                <w:rFonts w:hint="eastAsia"/>
              </w:rPr>
              <w:t>委托外单位利用处置</w:t>
            </w:r>
            <w:r>
              <w:rPr>
                <w:rFonts w:hint="eastAsia"/>
                <w:lang w:eastAsia="zh-CN"/>
              </w:rPr>
              <w:t>，</w:t>
            </w:r>
            <w:r>
              <w:rPr>
                <w:rFonts w:hint="eastAsia"/>
                <w:lang w:val="en-US" w:eastAsia="zh-CN"/>
              </w:rPr>
              <w:t>未改变</w:t>
            </w:r>
          </w:p>
        </w:tc>
        <w:tc>
          <w:tcPr>
            <w:tcW w:w="1701" w:type="dxa"/>
            <w:noWrap w:val="0"/>
            <w:vAlign w:val="center"/>
          </w:tcPr>
          <w:p w14:paraId="48A097BB">
            <w:pPr>
              <w:pStyle w:val="24"/>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726B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30" w:type="dxa"/>
            <w:noWrap w:val="0"/>
            <w:vAlign w:val="center"/>
          </w:tcPr>
          <w:p w14:paraId="00AD390F">
            <w:pPr>
              <w:pStyle w:val="24"/>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11</w:t>
            </w:r>
          </w:p>
        </w:tc>
        <w:tc>
          <w:tcPr>
            <w:tcW w:w="3632" w:type="dxa"/>
            <w:noWrap w:val="0"/>
            <w:vAlign w:val="center"/>
          </w:tcPr>
          <w:p w14:paraId="49532862">
            <w:pPr>
              <w:pStyle w:val="24"/>
              <w:keepNext w:val="0"/>
              <w:keepLines w:val="0"/>
              <w:suppressLineNumbers w:val="0"/>
              <w:bidi w:val="0"/>
              <w:spacing w:before="0" w:beforeAutospacing="0" w:after="0" w:afterAutospacing="0"/>
              <w:ind w:left="0" w:right="0"/>
              <w:jc w:val="both"/>
              <w:rPr>
                <w:rFonts w:hint="eastAsia"/>
              </w:rPr>
            </w:pPr>
            <w:r>
              <w:rPr>
                <w:rFonts w:hint="eastAsia"/>
              </w:rPr>
              <w:t>事故废水暂存能力或拦截设施变化，导致环境风险防范能力弱化或降低的。</w:t>
            </w:r>
          </w:p>
        </w:tc>
        <w:tc>
          <w:tcPr>
            <w:tcW w:w="2539" w:type="dxa"/>
            <w:noWrap w:val="0"/>
            <w:vAlign w:val="center"/>
          </w:tcPr>
          <w:p w14:paraId="2CCB1594">
            <w:pPr>
              <w:pStyle w:val="24"/>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本项目建设已按照环评要求建设事故池和初期雨水池，</w:t>
            </w:r>
            <w:r>
              <w:rPr>
                <w:rFonts w:hint="eastAsia"/>
              </w:rPr>
              <w:t>环境风险防范能力</w:t>
            </w:r>
            <w:r>
              <w:rPr>
                <w:rFonts w:hint="eastAsia"/>
                <w:lang w:val="en-US" w:eastAsia="zh-CN"/>
              </w:rPr>
              <w:t>未改变。</w:t>
            </w:r>
          </w:p>
        </w:tc>
        <w:tc>
          <w:tcPr>
            <w:tcW w:w="1701" w:type="dxa"/>
            <w:noWrap w:val="0"/>
            <w:vAlign w:val="center"/>
          </w:tcPr>
          <w:p w14:paraId="074BF661">
            <w:pPr>
              <w:pStyle w:val="24"/>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bl>
    <w:p w14:paraId="477FA511">
      <w:pPr>
        <w:spacing w:line="360" w:lineRule="auto"/>
        <w:ind w:firstLine="482" w:firstLineChars="200"/>
        <w:outlineLvl w:val="0"/>
        <w:rPr>
          <w:rFonts w:ascii="宋体" w:hAnsi="宋体" w:cs="宋体"/>
          <w:b/>
          <w:color w:val="auto"/>
          <w:sz w:val="24"/>
        </w:rPr>
      </w:pPr>
      <w:bookmarkStart w:id="1" w:name="_GoBack"/>
      <w:bookmarkEnd w:id="1"/>
      <w:r>
        <w:rPr>
          <w:rFonts w:hint="eastAsia" w:ascii="宋体" w:hAnsi="宋体" w:cs="宋体"/>
          <w:b/>
          <w:color w:val="auto"/>
          <w:sz w:val="24"/>
        </w:rPr>
        <w:t>三、环境保护设施建设情况</w:t>
      </w:r>
    </w:p>
    <w:p w14:paraId="401D5BCE">
      <w:pPr>
        <w:spacing w:line="360" w:lineRule="auto"/>
        <w:ind w:firstLine="480" w:firstLineChars="200"/>
        <w:rPr>
          <w:rFonts w:eastAsiaTheme="minorEastAsia"/>
          <w:color w:val="auto"/>
          <w:sz w:val="24"/>
        </w:rPr>
      </w:pPr>
      <w:r>
        <w:rPr>
          <w:rFonts w:eastAsiaTheme="minorEastAsia"/>
          <w:color w:val="auto"/>
          <w:sz w:val="24"/>
        </w:rPr>
        <w:t>（一）废水</w:t>
      </w:r>
    </w:p>
    <w:p w14:paraId="1C1BDD46">
      <w:pPr>
        <w:spacing w:line="360" w:lineRule="auto"/>
        <w:ind w:firstLine="480" w:firstLineChars="200"/>
        <w:rPr>
          <w:color w:val="auto"/>
          <w:sz w:val="24"/>
          <w:lang w:bidi="ar"/>
        </w:rPr>
      </w:pPr>
      <w:r>
        <w:rPr>
          <w:rFonts w:hint="eastAsia"/>
          <w:color w:val="auto"/>
          <w:sz w:val="24"/>
          <w:lang w:bidi="ar"/>
        </w:rPr>
        <w:t>生活污水与生产废水一起进入厂内新建污水站（格栅+调节池+气浮+水解酸化+A²/O，处理能力20t/d）处理达到潜山市污水厂接管标准和《污水综合排放标准》（GB8978-1996）表 4 中的三级标准后与生活污水一起进入潜山市污水处理厂深度处理达到《城镇污水处理厂污染物排放标准》（GB18918-2002）一级A标准后排入皖水。</w:t>
      </w:r>
    </w:p>
    <w:p w14:paraId="751840CA">
      <w:pPr>
        <w:spacing w:line="360" w:lineRule="auto"/>
        <w:ind w:firstLine="480" w:firstLineChars="200"/>
        <w:rPr>
          <w:rFonts w:eastAsiaTheme="minorEastAsia"/>
          <w:color w:val="auto"/>
          <w:sz w:val="24"/>
        </w:rPr>
      </w:pPr>
      <w:r>
        <w:rPr>
          <w:rFonts w:eastAsiaTheme="minorEastAsia"/>
          <w:color w:val="auto"/>
          <w:sz w:val="24"/>
        </w:rPr>
        <w:t>（二）废气</w:t>
      </w:r>
    </w:p>
    <w:p w14:paraId="09BAF271">
      <w:pPr>
        <w:pStyle w:val="23"/>
        <w:spacing w:line="360" w:lineRule="auto"/>
        <w:ind w:firstLine="480" w:firstLineChars="200"/>
        <w:rPr>
          <w:rFonts w:ascii="Times New Roman" w:eastAsia="宋体" w:cs="Times New Roman"/>
          <w:color w:val="auto"/>
        </w:rPr>
      </w:pPr>
      <w:r>
        <w:rPr>
          <w:rFonts w:hint="eastAsia" w:ascii="Times New Roman" w:eastAsia="宋体" w:cs="Times New Roman"/>
          <w:color w:val="auto"/>
          <w:szCs w:val="22"/>
        </w:rPr>
        <w:t>本项目无有组织废气排放。厂内植物油脂肪酸贮存生产会有非甲烷总烃挥发，污水站污水处理会有氨、硫化氢、臭气浓度产生，本项目均无组织排放。厂界氨、硫化氢、臭气浓度执行《恶臭污染物排放标准》（GB14554-93）表1二级标准要求。厂界非甲烷总烃无组织排放限值执行《大气污染物综合排放标准》（GB16297-1996）表2新污染源大气污染物排放限值要求；厂内VOCs无组织排放执行《挥发性有机物无组织排放控制标准》（GB37822-2019）附录A中标准</w:t>
      </w:r>
      <w:r>
        <w:rPr>
          <w:rFonts w:ascii="Times New Roman" w:eastAsia="宋体" w:cs="Times New Roman"/>
          <w:color w:val="auto"/>
          <w:szCs w:val="22"/>
        </w:rPr>
        <w:t>。</w:t>
      </w:r>
    </w:p>
    <w:p w14:paraId="443E1726">
      <w:pPr>
        <w:spacing w:line="360" w:lineRule="auto"/>
        <w:ind w:firstLine="480" w:firstLineChars="200"/>
        <w:rPr>
          <w:rFonts w:eastAsiaTheme="minorEastAsia"/>
          <w:color w:val="auto"/>
          <w:sz w:val="24"/>
        </w:rPr>
      </w:pPr>
      <w:r>
        <w:rPr>
          <w:rFonts w:eastAsiaTheme="minorEastAsia"/>
          <w:color w:val="auto"/>
          <w:sz w:val="24"/>
        </w:rPr>
        <w:t>（三）噪声</w:t>
      </w:r>
    </w:p>
    <w:p w14:paraId="070E9FA8">
      <w:pPr>
        <w:pStyle w:val="23"/>
        <w:spacing w:line="360" w:lineRule="auto"/>
        <w:ind w:firstLine="480" w:firstLineChars="200"/>
        <w:rPr>
          <w:rFonts w:eastAsiaTheme="minorEastAsia"/>
          <w:color w:val="auto"/>
        </w:rPr>
      </w:pPr>
      <w:r>
        <w:rPr>
          <w:rFonts w:eastAsiaTheme="minorEastAsia"/>
          <w:color w:val="auto"/>
        </w:rPr>
        <w:t>项目噪声主要为机械设备运行时产生的噪声，</w:t>
      </w:r>
      <w:r>
        <w:rPr>
          <w:rFonts w:hint="eastAsia" w:eastAsiaTheme="minorEastAsia"/>
          <w:color w:val="auto"/>
        </w:rPr>
        <w:t>本公司对各类产噪设备进行合理布局、</w:t>
      </w:r>
      <w:r>
        <w:rPr>
          <w:rFonts w:ascii="Times New Roman" w:eastAsia="宋体" w:cs="Times New Roman"/>
          <w:bCs/>
          <w:color w:val="auto"/>
        </w:rPr>
        <w:t>高噪声设备加装减振基础，减少噪声外扬</w:t>
      </w:r>
      <w:r>
        <w:rPr>
          <w:rFonts w:hint="eastAsia" w:ascii="Times New Roman" w:eastAsia="宋体" w:cs="Times New Roman"/>
          <w:bCs/>
          <w:color w:val="auto"/>
        </w:rPr>
        <w:t>、</w:t>
      </w:r>
      <w:r>
        <w:rPr>
          <w:rFonts w:ascii="Times New Roman" w:eastAsia="宋体" w:cs="Times New Roman"/>
          <w:bCs/>
          <w:color w:val="auto"/>
        </w:rPr>
        <w:t>加强设备保养，确保正常运行</w:t>
      </w:r>
      <w:r>
        <w:rPr>
          <w:rFonts w:eastAsiaTheme="minorEastAsia"/>
          <w:color w:val="auto"/>
        </w:rPr>
        <w:t>。</w:t>
      </w:r>
    </w:p>
    <w:p w14:paraId="34E837EB">
      <w:pPr>
        <w:spacing w:line="360" w:lineRule="auto"/>
        <w:ind w:firstLine="480" w:firstLineChars="200"/>
        <w:rPr>
          <w:rFonts w:eastAsiaTheme="minorEastAsia"/>
          <w:color w:val="auto"/>
          <w:sz w:val="24"/>
        </w:rPr>
      </w:pPr>
      <w:r>
        <w:rPr>
          <w:rFonts w:eastAsiaTheme="minorEastAsia"/>
          <w:color w:val="auto"/>
          <w:sz w:val="24"/>
        </w:rPr>
        <w:t>（四）固体废物</w:t>
      </w:r>
    </w:p>
    <w:p w14:paraId="7B122366">
      <w:pPr>
        <w:pStyle w:val="7"/>
        <w:spacing w:before="0" w:line="360" w:lineRule="auto"/>
        <w:ind w:firstLine="482"/>
        <w:outlineLvl w:val="0"/>
        <w:rPr>
          <w:rFonts w:hint="eastAsia" w:eastAsiaTheme="minorEastAsia"/>
          <w:color w:val="auto"/>
        </w:rPr>
      </w:pPr>
      <w:r>
        <w:rPr>
          <w:rFonts w:hint="eastAsia" w:eastAsiaTheme="minorEastAsia"/>
          <w:color w:val="auto"/>
        </w:rPr>
        <w:t>本项目一般固废包括废滤袋、废包装袋、污水处理站污泥、生活垃圾。企业设备多为储罐，不需维护，油泵均为小功率干式泵，不需添加润滑油。厂内配置一台叉车，添加柴油及设备维护均至厂外，不在厂内存储润滑油。不会产生废油及废油桶及其他危险废物。</w:t>
      </w:r>
    </w:p>
    <w:p w14:paraId="60C68B20">
      <w:pPr>
        <w:pStyle w:val="7"/>
        <w:spacing w:before="0" w:line="360" w:lineRule="auto"/>
        <w:ind w:firstLine="482"/>
        <w:outlineLvl w:val="0"/>
        <w:rPr>
          <w:rFonts w:hint="eastAsia" w:eastAsiaTheme="minorEastAsia"/>
          <w:color w:val="auto"/>
        </w:rPr>
      </w:pPr>
      <w:r>
        <w:rPr>
          <w:rFonts w:hint="eastAsia" w:eastAsiaTheme="minorEastAsia"/>
          <w:color w:val="auto"/>
        </w:rPr>
        <w:t>①生活垃圾集中收集交由环卫部门处理；②废滤袋、废滤芯、废包装袋、污泥等均为一般固废，分别外售综合利用。</w:t>
      </w:r>
    </w:p>
    <w:p w14:paraId="395DF4D3">
      <w:pPr>
        <w:pStyle w:val="7"/>
        <w:spacing w:before="0" w:line="360" w:lineRule="auto"/>
        <w:ind w:firstLine="482"/>
        <w:outlineLvl w:val="0"/>
        <w:rPr>
          <w:b/>
          <w:bCs/>
          <w:color w:val="auto"/>
        </w:rPr>
      </w:pPr>
      <w:r>
        <w:rPr>
          <w:b/>
          <w:bCs/>
          <w:color w:val="auto"/>
        </w:rPr>
        <w:t>四、环境保护设施调试效果</w:t>
      </w:r>
    </w:p>
    <w:p w14:paraId="53D649B3">
      <w:pPr>
        <w:spacing w:line="360" w:lineRule="auto"/>
        <w:ind w:firstLine="480" w:firstLineChars="200"/>
        <w:rPr>
          <w:rFonts w:eastAsiaTheme="minorEastAsia"/>
          <w:color w:val="auto"/>
          <w:sz w:val="24"/>
        </w:rPr>
      </w:pPr>
      <w:r>
        <w:rPr>
          <w:rFonts w:eastAsiaTheme="minorEastAsia"/>
          <w:color w:val="auto"/>
          <w:sz w:val="24"/>
        </w:rPr>
        <w:t>（</w:t>
      </w:r>
      <w:r>
        <w:rPr>
          <w:rFonts w:hint="eastAsia" w:eastAsiaTheme="minorEastAsia"/>
          <w:color w:val="auto"/>
          <w:sz w:val="24"/>
          <w:lang w:val="en-US" w:eastAsia="zh-CN"/>
        </w:rPr>
        <w:t>1</w:t>
      </w:r>
      <w:r>
        <w:rPr>
          <w:rFonts w:eastAsiaTheme="minorEastAsia"/>
          <w:color w:val="auto"/>
          <w:sz w:val="24"/>
        </w:rPr>
        <w:t>）废气</w:t>
      </w:r>
    </w:p>
    <w:p w14:paraId="45ADDFA1">
      <w:pPr>
        <w:spacing w:line="360" w:lineRule="auto"/>
        <w:ind w:firstLine="480" w:firstLineChars="200"/>
        <w:rPr>
          <w:rFonts w:hint="eastAsia"/>
          <w:bCs/>
          <w:color w:val="auto"/>
          <w:sz w:val="24"/>
        </w:rPr>
      </w:pPr>
      <w:bookmarkStart w:id="0" w:name="_Hlk35549413"/>
      <w:r>
        <w:rPr>
          <w:rFonts w:hint="eastAsia"/>
          <w:bCs/>
          <w:color w:val="auto"/>
          <w:sz w:val="24"/>
        </w:rPr>
        <w:t>本项目无有组织废气产生，根据监测结果，厂界上风向（1#）、厂界下风向（2#、3#、4#）废气无组织排放监控点中，氨气的最大监测浓度值为0.074mg/m3，硫化氢未检出，臭气浓度的最大监测浓度值＜17(无量纲)，均满足《恶臭污染物排放标准》（GB14554-93）表1二级标准要求。各厂界非甲烷总烃的最大监测浓度值为1.19mg/m3，满足《大气污染物综合排放标准》（GB16297-1996）表2新污染源大气污染物排放限值要求。厂区内非甲烷总烃的最大监测浓度值为2.37mg/m3，满足《挥发性有机物无组织排放控制标准》（GB37822-2019）附录A中标准。</w:t>
      </w:r>
    </w:p>
    <w:p w14:paraId="0D6DABEF">
      <w:pPr>
        <w:spacing w:line="360" w:lineRule="auto"/>
        <w:ind w:firstLine="480" w:firstLineChars="200"/>
        <w:rPr>
          <w:rFonts w:eastAsiaTheme="minorEastAsia"/>
          <w:color w:val="auto"/>
          <w:sz w:val="24"/>
        </w:rPr>
      </w:pPr>
      <w:r>
        <w:rPr>
          <w:rFonts w:eastAsiaTheme="minorEastAsia"/>
          <w:color w:val="auto"/>
          <w:sz w:val="24"/>
        </w:rPr>
        <w:t>（</w:t>
      </w:r>
      <w:r>
        <w:rPr>
          <w:rFonts w:hint="eastAsia" w:eastAsiaTheme="minorEastAsia"/>
          <w:color w:val="auto"/>
          <w:sz w:val="24"/>
          <w:lang w:val="en-US" w:eastAsia="zh-CN"/>
        </w:rPr>
        <w:t>2</w:t>
      </w:r>
      <w:r>
        <w:rPr>
          <w:rFonts w:eastAsiaTheme="minorEastAsia"/>
          <w:color w:val="auto"/>
          <w:sz w:val="24"/>
        </w:rPr>
        <w:t>）厂界噪声</w:t>
      </w:r>
    </w:p>
    <w:bookmarkEnd w:id="0"/>
    <w:p w14:paraId="1198E78B">
      <w:pPr>
        <w:spacing w:line="360" w:lineRule="auto"/>
        <w:ind w:firstLine="480" w:firstLineChars="200"/>
        <w:rPr>
          <w:rFonts w:eastAsiaTheme="minorEastAsia"/>
          <w:color w:val="auto"/>
          <w:sz w:val="24"/>
        </w:rPr>
      </w:pPr>
      <w:r>
        <w:rPr>
          <w:rFonts w:hint="eastAsia" w:eastAsiaTheme="minorEastAsia"/>
          <w:color w:val="auto"/>
          <w:sz w:val="24"/>
        </w:rPr>
        <w:t>验收监测期间，厂界噪声监测点位2天，昼间噪声值为47.7-54.3dB（A）之间，小于其标准限值65dB（A），夜间噪声值为45.6-49.4dB（A）之间，小于其标准限值55dB（A）。两个敏感点昼间噪声测定值在42.1-45.4dB（A）之间，小于其标准限值60dB（A），夜间噪声测定值在41.4-45.6dB（A）之间，小于其标准限值50dB（A）。企业各厂界噪声符合《工业企业厂界环境噪声排放标准》（GB12348-2008）3类标准要求，为达标排放。周边敏感点噪声监测结果满足《声环境质量标准》（GB3096-2008）中的2类标准。</w:t>
      </w:r>
    </w:p>
    <w:p w14:paraId="71FD7551">
      <w:pPr>
        <w:spacing w:line="360" w:lineRule="auto"/>
        <w:ind w:firstLine="480" w:firstLineChars="200"/>
        <w:rPr>
          <w:rFonts w:eastAsiaTheme="minorEastAsia"/>
          <w:color w:val="auto"/>
          <w:sz w:val="24"/>
        </w:rPr>
      </w:pPr>
      <w:r>
        <w:rPr>
          <w:rFonts w:eastAsiaTheme="minorEastAsia"/>
          <w:color w:val="auto"/>
          <w:sz w:val="24"/>
        </w:rPr>
        <w:t>（四）固体废物</w:t>
      </w:r>
    </w:p>
    <w:p w14:paraId="5D4CA002">
      <w:pPr>
        <w:spacing w:line="360" w:lineRule="auto"/>
        <w:ind w:firstLine="480" w:firstLineChars="200"/>
        <w:rPr>
          <w:rFonts w:eastAsiaTheme="minorEastAsia"/>
          <w:color w:val="auto"/>
          <w:sz w:val="24"/>
        </w:rPr>
      </w:pPr>
      <w:r>
        <w:rPr>
          <w:rFonts w:hint="eastAsia" w:eastAsiaTheme="minorEastAsia"/>
          <w:color w:val="auto"/>
          <w:sz w:val="24"/>
        </w:rPr>
        <w:t>本项目固废包括废滤袋、废滤芯、废包装袋、污泥。均为一般固废，分别外售综合利用。职工生活垃圾收集后统一交由环卫部门处理。</w:t>
      </w:r>
    </w:p>
    <w:p w14:paraId="7F67ACE5">
      <w:pPr>
        <w:numPr>
          <w:ilvl w:val="0"/>
          <w:numId w:val="1"/>
        </w:numPr>
        <w:spacing w:line="360" w:lineRule="auto"/>
        <w:ind w:firstLine="480" w:firstLineChars="200"/>
        <w:rPr>
          <w:rFonts w:hint="eastAsia" w:eastAsiaTheme="minorEastAsia"/>
          <w:color w:val="auto"/>
          <w:sz w:val="24"/>
          <w:lang w:val="en-US" w:eastAsia="zh-CN"/>
        </w:rPr>
      </w:pPr>
      <w:r>
        <w:rPr>
          <w:rFonts w:hint="eastAsia" w:eastAsiaTheme="minorEastAsia"/>
          <w:color w:val="auto"/>
          <w:sz w:val="24"/>
          <w:lang w:val="en-US" w:eastAsia="zh-CN"/>
        </w:rPr>
        <w:t>废水</w:t>
      </w:r>
    </w:p>
    <w:p w14:paraId="32FAC4A0">
      <w:pPr>
        <w:spacing w:line="360" w:lineRule="auto"/>
        <w:ind w:firstLine="480" w:firstLineChars="200"/>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lang w:val="en-US" w:eastAsia="zh-CN"/>
        </w:rPr>
        <w:t>本次验收项目建成后所排废水为生活污水、生产废水一起通过厂内污水站处理后排入潜山市污水厂进一步处理。</w:t>
      </w:r>
    </w:p>
    <w:p w14:paraId="7126F772">
      <w:pPr>
        <w:spacing w:line="360" w:lineRule="auto"/>
        <w:ind w:firstLine="480" w:firstLineChars="200"/>
        <w:rPr>
          <w:rFonts w:hint="default" w:ascii="Times New Roman" w:hAnsi="Times New Roman" w:cs="Times New Roman" w:eastAsiaTheme="minorEastAsia"/>
          <w:color w:val="auto"/>
          <w:sz w:val="24"/>
          <w:lang w:val="en-US" w:eastAsia="zh-CN"/>
        </w:rPr>
      </w:pPr>
      <w:r>
        <w:rPr>
          <w:rFonts w:hint="default" w:ascii="Times New Roman" w:hAnsi="Times New Roman" w:cs="Times New Roman" w:eastAsiaTheme="minorEastAsia"/>
          <w:color w:val="auto"/>
          <w:sz w:val="24"/>
          <w:lang w:val="en-US" w:eastAsia="zh-CN"/>
        </w:rPr>
        <w:t>据总排放口废水监测结果，pH范围6.3-6.8，悬浮物最大浓度14-22mg/L，化学需氧量浓度147-185mg/L，五日生化需氧量浓度45.6-60.5mg/L，氨氮浓度1.26-1.56mg/L，总磷浓度0.348-0.560mg/L，总氮浓度1.50-3.22mg/L，动植物油浓度2.03-4.69mg/L，厂区污水总排口废水中pH、COD、BOD5、氨氮、SS、总磷、总氮、动植物油均达到潜山市污水处理厂接管标准。</w:t>
      </w:r>
    </w:p>
    <w:p w14:paraId="0864DEC4">
      <w:pPr>
        <w:spacing w:line="360" w:lineRule="auto"/>
        <w:ind w:firstLine="480" w:firstLineChars="200"/>
        <w:rPr>
          <w:rFonts w:eastAsiaTheme="minorEastAsia"/>
          <w:color w:val="auto"/>
          <w:sz w:val="24"/>
        </w:rPr>
      </w:pPr>
      <w:r>
        <w:rPr>
          <w:rFonts w:eastAsiaTheme="minorEastAsia"/>
          <w:color w:val="auto"/>
          <w:sz w:val="24"/>
        </w:rPr>
        <w:t>（</w:t>
      </w:r>
      <w:r>
        <w:rPr>
          <w:rFonts w:hint="eastAsia" w:eastAsiaTheme="minorEastAsia"/>
          <w:color w:val="auto"/>
          <w:sz w:val="24"/>
          <w:lang w:val="en-US" w:eastAsia="zh-CN"/>
        </w:rPr>
        <w:t>六</w:t>
      </w:r>
      <w:r>
        <w:rPr>
          <w:rFonts w:eastAsiaTheme="minorEastAsia"/>
          <w:color w:val="auto"/>
          <w:sz w:val="24"/>
        </w:rPr>
        <w:t>）</w:t>
      </w:r>
      <w:r>
        <w:rPr>
          <w:rFonts w:hint="eastAsia" w:eastAsiaTheme="minorEastAsia"/>
          <w:color w:val="auto"/>
          <w:sz w:val="24"/>
        </w:rPr>
        <w:t>总量控制</w:t>
      </w:r>
    </w:p>
    <w:p w14:paraId="2AFF7B1D">
      <w:pPr>
        <w:pStyle w:val="7"/>
        <w:spacing w:before="0" w:line="360" w:lineRule="auto"/>
        <w:ind w:firstLine="482"/>
        <w:outlineLvl w:val="0"/>
        <w:rPr>
          <w:rFonts w:hint="eastAsia"/>
          <w:bCs/>
          <w:color w:val="auto"/>
          <w:lang w:val="zh-CN"/>
        </w:rPr>
      </w:pPr>
      <w:r>
        <w:rPr>
          <w:rFonts w:hint="eastAsia"/>
          <w:bCs/>
          <w:color w:val="auto"/>
          <w:lang w:val="zh-CN"/>
        </w:rPr>
        <w:t>根据现场调查，目前项目及其配套环保设施已全部建设完成。本项目污染物总量核算情况如下：排入外环境的COD、NH3-N总量为0.0315t/a、0.00315t/a，满足总量控制指标要求。</w:t>
      </w:r>
    </w:p>
    <w:p w14:paraId="7FE17C4A">
      <w:pPr>
        <w:pStyle w:val="7"/>
        <w:spacing w:before="0" w:line="360" w:lineRule="auto"/>
        <w:ind w:firstLine="482"/>
        <w:outlineLvl w:val="0"/>
        <w:rPr>
          <w:b/>
          <w:bCs/>
          <w:color w:val="auto"/>
        </w:rPr>
      </w:pPr>
      <w:r>
        <w:rPr>
          <w:b/>
          <w:bCs/>
          <w:color w:val="auto"/>
        </w:rPr>
        <w:t>五、验收结论</w:t>
      </w:r>
    </w:p>
    <w:p w14:paraId="1285423E">
      <w:pPr>
        <w:spacing w:line="360" w:lineRule="auto"/>
        <w:ind w:firstLine="482" w:firstLineChars="200"/>
        <w:rPr>
          <w:rFonts w:eastAsiaTheme="minorEastAsia"/>
          <w:b/>
          <w:bCs/>
          <w:color w:val="auto"/>
          <w:sz w:val="24"/>
        </w:rPr>
      </w:pPr>
      <w:r>
        <w:rPr>
          <w:rFonts w:hint="eastAsia" w:eastAsiaTheme="minorEastAsia"/>
          <w:b/>
          <w:bCs/>
          <w:color w:val="auto"/>
          <w:sz w:val="24"/>
        </w:rPr>
        <w:t>对照</w:t>
      </w:r>
      <w:r>
        <w:rPr>
          <w:rFonts w:eastAsiaTheme="minorEastAsia"/>
          <w:b/>
          <w:bCs/>
          <w:color w:val="auto"/>
          <w:sz w:val="24"/>
        </w:rPr>
        <w:t>《建设项目竣工环境保护验收暂行办法》</w:t>
      </w:r>
      <w:r>
        <w:rPr>
          <w:rFonts w:hint="eastAsia" w:eastAsiaTheme="minorEastAsia"/>
          <w:b/>
          <w:bCs/>
          <w:color w:val="auto"/>
          <w:sz w:val="24"/>
        </w:rPr>
        <w:t>，本项目不存在</w:t>
      </w:r>
      <w:r>
        <w:rPr>
          <w:rFonts w:eastAsiaTheme="minorEastAsia"/>
          <w:b/>
          <w:bCs/>
          <w:color w:val="auto"/>
          <w:sz w:val="24"/>
        </w:rPr>
        <w:t>《建设项目竣工环境保护验收暂行办法》中所规定的</w:t>
      </w:r>
      <w:r>
        <w:rPr>
          <w:rFonts w:hint="eastAsia" w:eastAsiaTheme="minorEastAsia"/>
          <w:b/>
          <w:bCs/>
          <w:color w:val="auto"/>
          <w:sz w:val="24"/>
        </w:rPr>
        <w:t>九类</w:t>
      </w:r>
      <w:r>
        <w:rPr>
          <w:rFonts w:eastAsiaTheme="minorEastAsia"/>
          <w:b/>
          <w:bCs/>
          <w:color w:val="auto"/>
          <w:sz w:val="24"/>
        </w:rPr>
        <w:t>验收不合格情形</w:t>
      </w:r>
      <w:r>
        <w:rPr>
          <w:rFonts w:hint="eastAsia" w:eastAsiaTheme="minorEastAsia"/>
          <w:b/>
          <w:bCs/>
          <w:color w:val="auto"/>
          <w:sz w:val="24"/>
        </w:rPr>
        <w:t>，项目基本具备竣工环境保护验收条件，验收合格。</w:t>
      </w:r>
    </w:p>
    <w:p w14:paraId="691CC781">
      <w:pPr>
        <w:pStyle w:val="7"/>
        <w:spacing w:before="0" w:line="360" w:lineRule="auto"/>
        <w:ind w:firstLine="482"/>
        <w:outlineLvl w:val="0"/>
        <w:rPr>
          <w:b/>
          <w:bCs/>
          <w:color w:val="auto"/>
        </w:rPr>
      </w:pPr>
      <w:r>
        <w:rPr>
          <w:b/>
          <w:bCs/>
          <w:color w:val="auto"/>
        </w:rPr>
        <w:t>七、后续要求</w:t>
      </w:r>
    </w:p>
    <w:p w14:paraId="13C9B260">
      <w:pPr>
        <w:spacing w:line="360" w:lineRule="auto"/>
        <w:ind w:firstLine="480" w:firstLineChars="200"/>
        <w:rPr>
          <w:rFonts w:hint="eastAsia" w:eastAsiaTheme="minorEastAsia"/>
          <w:color w:val="auto"/>
          <w:sz w:val="24"/>
        </w:rPr>
      </w:pPr>
      <w:r>
        <w:rPr>
          <w:rFonts w:hint="eastAsia" w:eastAsiaTheme="minorEastAsia"/>
          <w:color w:val="auto"/>
          <w:sz w:val="24"/>
        </w:rPr>
        <w:t>1．企业按以上要求完善后并在切实落实项目环评及批复、国家法律法规及相关验收要求基础上，建议通过竣工环境保护验收。</w:t>
      </w:r>
    </w:p>
    <w:p w14:paraId="15371098">
      <w:pPr>
        <w:spacing w:line="360" w:lineRule="auto"/>
        <w:ind w:firstLine="480" w:firstLineChars="200"/>
        <w:rPr>
          <w:b/>
          <w:bCs/>
          <w:color w:val="auto"/>
          <w:sz w:val="24"/>
        </w:rPr>
      </w:pPr>
      <w:r>
        <w:rPr>
          <w:rFonts w:hint="eastAsia" w:eastAsiaTheme="minorEastAsia"/>
          <w:color w:val="auto"/>
          <w:sz w:val="24"/>
        </w:rPr>
        <w:t>2．企业应进一步完善各项环境保护规章制度和环境保护基础台账、档案及运行记录，制定环保设施操作规程，明确各岗位环保责任，加强环保设施安全管理，强化日常运行监管</w:t>
      </w:r>
      <w:r>
        <w:rPr>
          <w:rFonts w:hint="eastAsia" w:eastAsiaTheme="minorEastAsia"/>
          <w:color w:val="auto"/>
          <w:sz w:val="24"/>
          <w:lang w:eastAsia="zh-CN"/>
        </w:rPr>
        <w:t>。</w:t>
      </w:r>
    </w:p>
    <w:p w14:paraId="147E3BDF">
      <w:pPr>
        <w:pStyle w:val="7"/>
        <w:spacing w:before="0" w:line="360" w:lineRule="auto"/>
        <w:ind w:firstLine="482"/>
        <w:outlineLvl w:val="0"/>
        <w:rPr>
          <w:b/>
          <w:bCs/>
          <w:color w:val="auto"/>
        </w:rPr>
      </w:pPr>
      <w:r>
        <w:rPr>
          <w:b/>
          <w:bCs/>
          <w:color w:val="auto"/>
        </w:rPr>
        <w:t>八、验收人员信息</w:t>
      </w:r>
    </w:p>
    <w:p w14:paraId="5966F747">
      <w:pPr>
        <w:spacing w:line="360" w:lineRule="auto"/>
        <w:ind w:firstLine="480" w:firstLineChars="200"/>
        <w:rPr>
          <w:rFonts w:eastAsiaTheme="minorEastAsia"/>
          <w:color w:val="auto"/>
          <w:sz w:val="24"/>
        </w:rPr>
      </w:pPr>
      <w:r>
        <w:rPr>
          <w:rFonts w:eastAsiaTheme="minorEastAsia"/>
          <w:color w:val="auto"/>
          <w:sz w:val="24"/>
        </w:rPr>
        <w:t>本项目竣工环保验收工作组成员见下表</w:t>
      </w:r>
      <w:r>
        <w:rPr>
          <w:rFonts w:hint="eastAsia" w:eastAsiaTheme="minorEastAsia"/>
          <w:color w:val="auto"/>
          <w:sz w:val="24"/>
        </w:rPr>
        <w:t>。</w:t>
      </w:r>
    </w:p>
    <w:p w14:paraId="0D9775CC">
      <w:pPr>
        <w:widowControl/>
        <w:spacing w:line="360" w:lineRule="auto"/>
        <w:ind w:firstLine="482" w:firstLineChars="200"/>
        <w:jc w:val="center"/>
        <w:rPr>
          <w:rFonts w:ascii="仿宋_GB2312" w:eastAsia="仿宋_GB2312"/>
          <w:b/>
          <w:color w:val="auto"/>
          <w:sz w:val="24"/>
        </w:rPr>
      </w:pPr>
      <w:r>
        <w:rPr>
          <w:rFonts w:ascii="仿宋_GB2312" w:eastAsia="仿宋_GB2312"/>
          <w:b/>
          <w:color w:val="auto"/>
          <w:sz w:val="24"/>
        </w:rPr>
        <w:t>表</w:t>
      </w:r>
      <w:r>
        <w:rPr>
          <w:rFonts w:hint="eastAsia" w:ascii="仿宋_GB2312" w:eastAsia="仿宋_GB2312"/>
          <w:b/>
          <w:color w:val="auto"/>
          <w:sz w:val="24"/>
          <w:lang w:val="en-US" w:eastAsia="zh-CN"/>
        </w:rPr>
        <w:t xml:space="preserve">1 </w:t>
      </w:r>
      <w:r>
        <w:rPr>
          <w:rFonts w:ascii="仿宋_GB2312" w:eastAsia="仿宋_GB2312"/>
          <w:b/>
          <w:color w:val="auto"/>
          <w:sz w:val="24"/>
        </w:rPr>
        <w:t xml:space="preserve"> 验收工作组成员一览表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844"/>
        <w:gridCol w:w="1563"/>
        <w:gridCol w:w="1986"/>
      </w:tblGrid>
      <w:tr w14:paraId="3D3F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DCD6D27">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姓名</w:t>
            </w:r>
          </w:p>
        </w:tc>
        <w:tc>
          <w:tcPr>
            <w:tcW w:w="2255" w:type="pct"/>
            <w:vAlign w:val="center"/>
          </w:tcPr>
          <w:p w14:paraId="51F78325">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单位</w:t>
            </w:r>
          </w:p>
        </w:tc>
        <w:tc>
          <w:tcPr>
            <w:tcW w:w="917" w:type="pct"/>
            <w:vAlign w:val="center"/>
          </w:tcPr>
          <w:p w14:paraId="10C1499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工作组角色</w:t>
            </w:r>
          </w:p>
        </w:tc>
        <w:tc>
          <w:tcPr>
            <w:tcW w:w="1165" w:type="pct"/>
            <w:vAlign w:val="center"/>
          </w:tcPr>
          <w:p w14:paraId="3DB39D5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电话</w:t>
            </w:r>
          </w:p>
        </w:tc>
      </w:tr>
      <w:tr w14:paraId="5F9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A348D48">
            <w:pPr>
              <w:autoSpaceDE w:val="0"/>
              <w:autoSpaceDN w:val="0"/>
              <w:adjustRightInd w:val="0"/>
              <w:spacing w:line="360" w:lineRule="auto"/>
              <w:jc w:val="center"/>
              <w:rPr>
                <w:rFonts w:hint="eastAsia" w:eastAsiaTheme="minorEastAsia"/>
                <w:color w:val="auto"/>
                <w:kern w:val="0"/>
                <w:szCs w:val="21"/>
                <w:highlight w:val="white"/>
                <w:lang w:eastAsia="zh-CN"/>
              </w:rPr>
            </w:pPr>
            <w:r>
              <w:rPr>
                <w:rFonts w:hint="eastAsia" w:eastAsiaTheme="minorEastAsia"/>
                <w:color w:val="auto"/>
                <w:kern w:val="0"/>
                <w:szCs w:val="21"/>
                <w:highlight w:val="white"/>
                <w:lang w:val="en-US" w:eastAsia="zh-CN"/>
              </w:rPr>
              <w:t>杜四平</w:t>
            </w:r>
          </w:p>
        </w:tc>
        <w:tc>
          <w:tcPr>
            <w:tcW w:w="2255" w:type="pct"/>
            <w:vAlign w:val="center"/>
          </w:tcPr>
          <w:p w14:paraId="0F5B62E3">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潜山金叶油脂有限公司</w:t>
            </w:r>
          </w:p>
        </w:tc>
        <w:tc>
          <w:tcPr>
            <w:tcW w:w="917" w:type="pct"/>
            <w:vAlign w:val="center"/>
          </w:tcPr>
          <w:p w14:paraId="6CC12D67">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组长</w:t>
            </w:r>
          </w:p>
        </w:tc>
        <w:tc>
          <w:tcPr>
            <w:tcW w:w="1165" w:type="pct"/>
            <w:vAlign w:val="center"/>
          </w:tcPr>
          <w:p w14:paraId="4F66974C">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13966947163</w:t>
            </w:r>
          </w:p>
        </w:tc>
      </w:tr>
      <w:tr w14:paraId="467F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20B14E4D">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肖兵</w:t>
            </w:r>
          </w:p>
        </w:tc>
        <w:tc>
          <w:tcPr>
            <w:tcW w:w="2255" w:type="pct"/>
            <w:vAlign w:val="center"/>
          </w:tcPr>
          <w:p w14:paraId="3636516A">
            <w:pPr>
              <w:autoSpaceDE w:val="0"/>
              <w:autoSpaceDN w:val="0"/>
              <w:adjustRightInd w:val="0"/>
              <w:spacing w:line="360" w:lineRule="auto"/>
              <w:jc w:val="center"/>
              <w:rPr>
                <w:rFonts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中石化安庆分公司</w:t>
            </w:r>
          </w:p>
        </w:tc>
        <w:tc>
          <w:tcPr>
            <w:tcW w:w="917" w:type="pct"/>
            <w:vAlign w:val="center"/>
          </w:tcPr>
          <w:p w14:paraId="2E9990DE">
            <w:pPr>
              <w:autoSpaceDE w:val="0"/>
              <w:autoSpaceDN w:val="0"/>
              <w:adjustRightInd w:val="0"/>
              <w:spacing w:line="360" w:lineRule="auto"/>
              <w:jc w:val="center"/>
              <w:rPr>
                <w:rFonts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专家</w:t>
            </w:r>
          </w:p>
        </w:tc>
        <w:tc>
          <w:tcPr>
            <w:tcW w:w="1165" w:type="pct"/>
            <w:vAlign w:val="center"/>
          </w:tcPr>
          <w:p w14:paraId="22CFFB96">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13955604949</w:t>
            </w:r>
          </w:p>
        </w:tc>
      </w:tr>
      <w:tr w14:paraId="5770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752ABC10">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王典</w:t>
            </w:r>
          </w:p>
        </w:tc>
        <w:tc>
          <w:tcPr>
            <w:tcW w:w="2255" w:type="pct"/>
            <w:vAlign w:val="center"/>
          </w:tcPr>
          <w:p w14:paraId="554B28B1">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亚同环保（安庆）有限公司</w:t>
            </w:r>
          </w:p>
        </w:tc>
        <w:tc>
          <w:tcPr>
            <w:tcW w:w="917" w:type="pct"/>
            <w:vAlign w:val="center"/>
          </w:tcPr>
          <w:p w14:paraId="68AF3004">
            <w:pPr>
              <w:autoSpaceDE w:val="0"/>
              <w:autoSpaceDN w:val="0"/>
              <w:adjustRightInd w:val="0"/>
              <w:spacing w:line="360" w:lineRule="auto"/>
              <w:jc w:val="center"/>
              <w:rPr>
                <w:rFonts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专家</w:t>
            </w:r>
          </w:p>
        </w:tc>
        <w:tc>
          <w:tcPr>
            <w:tcW w:w="1165" w:type="pct"/>
            <w:vAlign w:val="center"/>
          </w:tcPr>
          <w:p w14:paraId="048AE1D3">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15324529098</w:t>
            </w:r>
          </w:p>
        </w:tc>
      </w:tr>
      <w:tr w14:paraId="5FB3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8FACDB3">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安乐生</w:t>
            </w:r>
          </w:p>
        </w:tc>
        <w:tc>
          <w:tcPr>
            <w:tcW w:w="2255" w:type="pct"/>
            <w:vAlign w:val="center"/>
          </w:tcPr>
          <w:p w14:paraId="19C7F785">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安庆师范大学</w:t>
            </w:r>
          </w:p>
        </w:tc>
        <w:tc>
          <w:tcPr>
            <w:tcW w:w="917" w:type="pct"/>
            <w:vAlign w:val="center"/>
          </w:tcPr>
          <w:p w14:paraId="31660319">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专家</w:t>
            </w:r>
          </w:p>
        </w:tc>
        <w:tc>
          <w:tcPr>
            <w:tcW w:w="1165" w:type="pct"/>
            <w:vAlign w:val="center"/>
          </w:tcPr>
          <w:p w14:paraId="06D188E2">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i w:val="0"/>
                <w:iCs w:val="0"/>
                <w:color w:val="auto"/>
                <w:kern w:val="0"/>
                <w:sz w:val="21"/>
                <w:szCs w:val="21"/>
                <w:highlight w:val="none"/>
                <w:u w:val="none"/>
                <w:lang w:val="en-US" w:eastAsia="zh-CN" w:bidi="ar"/>
              </w:rPr>
              <w:t>15955565112</w:t>
            </w:r>
          </w:p>
        </w:tc>
      </w:tr>
      <w:tr w14:paraId="5595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6253BA4">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何志洋</w:t>
            </w:r>
          </w:p>
        </w:tc>
        <w:tc>
          <w:tcPr>
            <w:tcW w:w="2255" w:type="pct"/>
            <w:vAlign w:val="center"/>
          </w:tcPr>
          <w:p w14:paraId="7C6C7764">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安徽凯格环保工程有限公司</w:t>
            </w:r>
          </w:p>
        </w:tc>
        <w:tc>
          <w:tcPr>
            <w:tcW w:w="917" w:type="pct"/>
            <w:vAlign w:val="center"/>
          </w:tcPr>
          <w:p w14:paraId="5108EC66">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组员</w:t>
            </w:r>
          </w:p>
        </w:tc>
        <w:tc>
          <w:tcPr>
            <w:tcW w:w="1165" w:type="pct"/>
            <w:vAlign w:val="center"/>
          </w:tcPr>
          <w:p w14:paraId="39F7A1EF">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18712188285</w:t>
            </w:r>
          </w:p>
        </w:tc>
      </w:tr>
      <w:tr w14:paraId="414F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F0A27EA">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cs="Times New Roman" w:eastAsiaTheme="minorEastAsia"/>
                <w:color w:val="auto"/>
                <w:kern w:val="0"/>
                <w:sz w:val="21"/>
                <w:szCs w:val="21"/>
                <w:highlight w:val="white"/>
                <w:lang w:val="en-US" w:eastAsia="zh-CN" w:bidi="ar-SA"/>
              </w:rPr>
              <w:t>葛观送</w:t>
            </w:r>
          </w:p>
        </w:tc>
        <w:tc>
          <w:tcPr>
            <w:tcW w:w="2255" w:type="pct"/>
            <w:vAlign w:val="center"/>
          </w:tcPr>
          <w:p w14:paraId="5FC5A58B">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潜山金叶油脂有限公司</w:t>
            </w:r>
          </w:p>
        </w:tc>
        <w:tc>
          <w:tcPr>
            <w:tcW w:w="917" w:type="pct"/>
            <w:vAlign w:val="center"/>
          </w:tcPr>
          <w:p w14:paraId="1CFFB075">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组员</w:t>
            </w:r>
          </w:p>
        </w:tc>
        <w:tc>
          <w:tcPr>
            <w:tcW w:w="1165" w:type="pct"/>
            <w:vAlign w:val="center"/>
          </w:tcPr>
          <w:p w14:paraId="3E8F1759">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18010813658</w:t>
            </w:r>
          </w:p>
        </w:tc>
      </w:tr>
      <w:tr w14:paraId="6828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23C51675">
            <w:pPr>
              <w:autoSpaceDE w:val="0"/>
              <w:autoSpaceDN w:val="0"/>
              <w:adjustRightInd w:val="0"/>
              <w:spacing w:line="360" w:lineRule="auto"/>
              <w:jc w:val="center"/>
              <w:rPr>
                <w:rFonts w:hint="eastAsia" w:eastAsiaTheme="minorEastAsia"/>
                <w:color w:val="auto"/>
                <w:kern w:val="0"/>
                <w:szCs w:val="21"/>
                <w:highlight w:val="white"/>
                <w:lang w:val="zh-CN" w:eastAsia="zh-CN"/>
              </w:rPr>
            </w:pPr>
            <w:r>
              <w:rPr>
                <w:rFonts w:hint="eastAsia" w:eastAsiaTheme="minorEastAsia"/>
                <w:color w:val="auto"/>
                <w:kern w:val="0"/>
                <w:szCs w:val="21"/>
                <w:highlight w:val="white"/>
                <w:lang w:val="en-US" w:eastAsia="zh-CN"/>
              </w:rPr>
              <w:t>胡彤</w:t>
            </w:r>
          </w:p>
        </w:tc>
        <w:tc>
          <w:tcPr>
            <w:tcW w:w="2255" w:type="pct"/>
            <w:vAlign w:val="center"/>
          </w:tcPr>
          <w:p w14:paraId="49BF978F">
            <w:pPr>
              <w:autoSpaceDE w:val="0"/>
              <w:autoSpaceDN w:val="0"/>
              <w:adjustRightInd w:val="0"/>
              <w:spacing w:line="360" w:lineRule="auto"/>
              <w:jc w:val="center"/>
              <w:rPr>
                <w:rFonts w:hint="eastAsia" w:eastAsiaTheme="minorEastAsia"/>
                <w:color w:val="auto"/>
                <w:kern w:val="0"/>
                <w:szCs w:val="21"/>
                <w:highlight w:val="white"/>
                <w:lang w:val="zh-CN"/>
              </w:rPr>
            </w:pPr>
            <w:r>
              <w:rPr>
                <w:rFonts w:hint="eastAsia" w:eastAsiaTheme="minorEastAsia"/>
                <w:color w:val="auto"/>
                <w:kern w:val="0"/>
                <w:szCs w:val="21"/>
                <w:highlight w:val="white"/>
                <w:lang w:val="zh-CN"/>
              </w:rPr>
              <w:t>安徽凯格环保工程有限公司</w:t>
            </w:r>
          </w:p>
        </w:tc>
        <w:tc>
          <w:tcPr>
            <w:tcW w:w="917" w:type="pct"/>
            <w:vAlign w:val="center"/>
          </w:tcPr>
          <w:p w14:paraId="1DA4DC0C">
            <w:pPr>
              <w:autoSpaceDE w:val="0"/>
              <w:autoSpaceDN w:val="0"/>
              <w:adjustRightInd w:val="0"/>
              <w:spacing w:line="360" w:lineRule="auto"/>
              <w:jc w:val="center"/>
              <w:rPr>
                <w:rFonts w:hint="eastAsia" w:eastAsiaTheme="minorEastAsia"/>
                <w:color w:val="auto"/>
                <w:kern w:val="0"/>
                <w:szCs w:val="21"/>
                <w:highlight w:val="white"/>
                <w:lang w:val="zh-CN"/>
              </w:rPr>
            </w:pPr>
            <w:r>
              <w:rPr>
                <w:rFonts w:hint="eastAsia" w:eastAsiaTheme="minorEastAsia"/>
                <w:color w:val="auto"/>
                <w:kern w:val="0"/>
                <w:szCs w:val="21"/>
                <w:highlight w:val="white"/>
                <w:lang w:val="zh-CN"/>
              </w:rPr>
              <w:t>组员</w:t>
            </w:r>
          </w:p>
        </w:tc>
        <w:tc>
          <w:tcPr>
            <w:tcW w:w="1165" w:type="pct"/>
            <w:vAlign w:val="center"/>
          </w:tcPr>
          <w:p w14:paraId="34C23DD7">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18714890121</w:t>
            </w:r>
          </w:p>
        </w:tc>
      </w:tr>
    </w:tbl>
    <w:p w14:paraId="37E6803B">
      <w:pPr>
        <w:spacing w:line="360" w:lineRule="auto"/>
        <w:ind w:firstLine="480" w:firstLineChars="200"/>
        <w:jc w:val="right"/>
        <w:rPr>
          <w:rFonts w:eastAsiaTheme="minorEastAsia"/>
          <w:color w:val="auto"/>
          <w:sz w:val="24"/>
        </w:rPr>
      </w:pPr>
    </w:p>
    <w:p w14:paraId="2F757C28">
      <w:pPr>
        <w:spacing w:line="360" w:lineRule="auto"/>
        <w:ind w:firstLine="420" w:firstLineChars="200"/>
        <w:jc w:val="right"/>
        <w:rPr>
          <w:rFonts w:hint="eastAsia" w:eastAsiaTheme="minorEastAsia"/>
          <w:color w:val="auto"/>
          <w:kern w:val="0"/>
          <w:szCs w:val="21"/>
          <w:highlight w:val="white"/>
          <w:lang w:val="zh-CN"/>
        </w:rPr>
      </w:pPr>
      <w:r>
        <w:rPr>
          <w:rFonts w:hint="eastAsia" w:eastAsiaTheme="minorEastAsia"/>
          <w:color w:val="auto"/>
          <w:kern w:val="0"/>
          <w:szCs w:val="21"/>
          <w:highlight w:val="white"/>
          <w:lang w:val="zh-CN"/>
        </w:rPr>
        <w:t>潜山金叶油脂有限公司</w:t>
      </w:r>
    </w:p>
    <w:p w14:paraId="5A1FB932">
      <w:pPr>
        <w:spacing w:line="360" w:lineRule="auto"/>
        <w:ind w:firstLine="480" w:firstLineChars="200"/>
        <w:jc w:val="right"/>
        <w:rPr>
          <w:rFonts w:eastAsiaTheme="minorEastAsia"/>
          <w:color w:val="auto"/>
          <w:sz w:val="24"/>
        </w:rPr>
      </w:pPr>
      <w:r>
        <w:rPr>
          <w:rFonts w:eastAsiaTheme="minorEastAsia"/>
          <w:color w:val="auto"/>
          <w:sz w:val="24"/>
        </w:rPr>
        <w:t>20</w:t>
      </w:r>
      <w:r>
        <w:rPr>
          <w:rFonts w:hint="eastAsia" w:eastAsiaTheme="minorEastAsia"/>
          <w:color w:val="auto"/>
          <w:sz w:val="24"/>
        </w:rPr>
        <w:t>2</w:t>
      </w:r>
      <w:r>
        <w:rPr>
          <w:rFonts w:hint="eastAsia" w:eastAsiaTheme="minorEastAsia"/>
          <w:color w:val="auto"/>
          <w:sz w:val="24"/>
          <w:lang w:val="en-US" w:eastAsia="zh-CN"/>
        </w:rPr>
        <w:t>5</w:t>
      </w:r>
      <w:r>
        <w:rPr>
          <w:rFonts w:eastAsiaTheme="minorEastAsia"/>
          <w:color w:val="auto"/>
          <w:sz w:val="24"/>
        </w:rPr>
        <w:t>年</w:t>
      </w:r>
      <w:r>
        <w:rPr>
          <w:rFonts w:hint="eastAsia" w:eastAsiaTheme="minorEastAsia"/>
          <w:color w:val="auto"/>
          <w:sz w:val="24"/>
          <w:lang w:val="en-US" w:eastAsia="zh-CN"/>
        </w:rPr>
        <w:t xml:space="preserve"> 9</w:t>
      </w:r>
      <w:r>
        <w:rPr>
          <w:rFonts w:eastAsiaTheme="minorEastAsia"/>
          <w:color w:val="auto"/>
          <w:sz w:val="24"/>
        </w:rPr>
        <w:t>月</w:t>
      </w:r>
      <w:r>
        <w:rPr>
          <w:rFonts w:hint="eastAsia" w:eastAsiaTheme="minorEastAsia"/>
          <w:color w:val="auto"/>
          <w:sz w:val="24"/>
        </w:rPr>
        <w:t xml:space="preserve"> </w:t>
      </w:r>
      <w:r>
        <w:rPr>
          <w:rFonts w:hint="eastAsia" w:eastAsiaTheme="minorEastAsia"/>
          <w:color w:val="auto"/>
          <w:sz w:val="24"/>
          <w:lang w:val="en-US" w:eastAsia="zh-CN"/>
        </w:rPr>
        <w:t>18</w:t>
      </w:r>
      <w:r>
        <w:rPr>
          <w:rFonts w:eastAsiaTheme="minorEastAsia"/>
          <w:color w:val="auto"/>
          <w:sz w:val="24"/>
        </w:rPr>
        <w:t>日</w:t>
      </w:r>
    </w:p>
    <w:p w14:paraId="35499F7B">
      <w:pPr>
        <w:spacing w:line="360" w:lineRule="auto"/>
        <w:ind w:firstLine="480" w:firstLineChars="200"/>
        <w:rPr>
          <w:color w:val="auto"/>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4F8D80"/>
    <w:multiLevelType w:val="singleLevel"/>
    <w:tmpl w:val="994F8D8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N2Y4Y2M3YzYzNmU4YzM5NWYwYTg5MTg2ZTc1NTgifQ=="/>
  </w:docVars>
  <w:rsids>
    <w:rsidRoot w:val="56D773BB"/>
    <w:rsid w:val="000F6FAD"/>
    <w:rsid w:val="001644BC"/>
    <w:rsid w:val="00217F13"/>
    <w:rsid w:val="004C03EB"/>
    <w:rsid w:val="005167D0"/>
    <w:rsid w:val="005724BA"/>
    <w:rsid w:val="005D438A"/>
    <w:rsid w:val="006659E9"/>
    <w:rsid w:val="007B5BCA"/>
    <w:rsid w:val="008700BA"/>
    <w:rsid w:val="008A2F26"/>
    <w:rsid w:val="0094161E"/>
    <w:rsid w:val="00A82FE9"/>
    <w:rsid w:val="00B33FF1"/>
    <w:rsid w:val="00C01108"/>
    <w:rsid w:val="00D01294"/>
    <w:rsid w:val="00DD6AB2"/>
    <w:rsid w:val="00EE641B"/>
    <w:rsid w:val="00F62BA9"/>
    <w:rsid w:val="01541EA9"/>
    <w:rsid w:val="0358310C"/>
    <w:rsid w:val="03DE1080"/>
    <w:rsid w:val="0EE730D9"/>
    <w:rsid w:val="1CFE1784"/>
    <w:rsid w:val="1D416BD4"/>
    <w:rsid w:val="1F1B731A"/>
    <w:rsid w:val="318C5234"/>
    <w:rsid w:val="344D3AEC"/>
    <w:rsid w:val="3A4A0CF0"/>
    <w:rsid w:val="3FB11845"/>
    <w:rsid w:val="442B59E3"/>
    <w:rsid w:val="44367A37"/>
    <w:rsid w:val="49362EA4"/>
    <w:rsid w:val="4F1F45F5"/>
    <w:rsid w:val="56D773BB"/>
    <w:rsid w:val="64011E50"/>
    <w:rsid w:val="6B204148"/>
    <w:rsid w:val="6B293A28"/>
    <w:rsid w:val="6BF81E3B"/>
    <w:rsid w:val="713113D9"/>
    <w:rsid w:val="73397D6D"/>
    <w:rsid w:val="77EC1AA6"/>
    <w:rsid w:val="7C5E7F62"/>
    <w:rsid w:val="7EE75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50" w:beforeLines="50" w:after="50" w:afterLines="50" w:line="360" w:lineRule="auto"/>
      <w:jc w:val="center"/>
      <w:outlineLvl w:val="0"/>
    </w:pPr>
    <w:rPr>
      <w:rFonts w:cs="Arial"/>
      <w:b/>
      <w:kern w:val="44"/>
      <w:sz w:val="32"/>
      <w:szCs w:val="22"/>
    </w:rPr>
  </w:style>
  <w:style w:type="paragraph" w:styleId="4">
    <w:name w:val="heading 2"/>
    <w:basedOn w:val="1"/>
    <w:next w:val="1"/>
    <w:link w:val="20"/>
    <w:semiHidden/>
    <w:unhideWhenUsed/>
    <w:qFormat/>
    <w:uiPriority w:val="0"/>
    <w:pPr>
      <w:keepNext/>
      <w:keepLines/>
      <w:spacing w:before="50" w:beforeLines="50" w:after="50" w:afterLines="50" w:line="360" w:lineRule="auto"/>
      <w:outlineLvl w:val="1"/>
    </w:pPr>
    <w:rPr>
      <w:rFonts w:eastAsiaTheme="minorEastAsia"/>
      <w:b/>
      <w:bCs/>
      <w:sz w:val="28"/>
      <w:szCs w:val="32"/>
    </w:rPr>
  </w:style>
  <w:style w:type="paragraph" w:styleId="5">
    <w:name w:val="heading 3"/>
    <w:basedOn w:val="1"/>
    <w:next w:val="1"/>
    <w:semiHidden/>
    <w:unhideWhenUsed/>
    <w:qFormat/>
    <w:uiPriority w:val="0"/>
    <w:pPr>
      <w:keepNext/>
      <w:keepLines/>
      <w:spacing w:before="20" w:after="20" w:line="360" w:lineRule="auto"/>
      <w:outlineLvl w:val="2"/>
    </w:pPr>
    <w:rPr>
      <w:rFonts w:cs="Arial"/>
      <w:b/>
      <w:sz w:val="28"/>
      <w:szCs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styleId="6">
    <w:name w:val="Normal Indent"/>
    <w:basedOn w:val="1"/>
    <w:next w:val="7"/>
    <w:qFormat/>
    <w:uiPriority w:val="0"/>
    <w:pPr>
      <w:widowControl/>
      <w:adjustRightInd w:val="0"/>
      <w:snapToGrid w:val="0"/>
      <w:spacing w:after="200"/>
      <w:ind w:firstLine="652"/>
      <w:jc w:val="left"/>
    </w:pPr>
    <w:rPr>
      <w:rFonts w:ascii="Tahoma" w:hAnsi="Tahoma" w:eastAsia="微软雅黑"/>
      <w:kern w:val="0"/>
      <w:sz w:val="22"/>
      <w:szCs w:val="22"/>
    </w:rPr>
  </w:style>
  <w:style w:type="paragraph" w:styleId="7">
    <w:name w:val="Body Text First Indent 2"/>
    <w:basedOn w:val="8"/>
    <w:next w:val="1"/>
    <w:unhideWhenUsed/>
    <w:qFormat/>
    <w:uiPriority w:val="99"/>
    <w:pPr>
      <w:ind w:firstLine="420" w:firstLineChars="200"/>
    </w:pPr>
  </w:style>
  <w:style w:type="paragraph" w:styleId="8">
    <w:name w:val="Body Text Indent"/>
    <w:basedOn w:val="1"/>
    <w:next w:val="9"/>
    <w:unhideWhenUsed/>
    <w:qFormat/>
    <w:uiPriority w:val="99"/>
    <w:pPr>
      <w:spacing w:before="120" w:line="360" w:lineRule="atLeast"/>
      <w:ind w:firstLine="539"/>
    </w:pPr>
    <w:rPr>
      <w:sz w:val="24"/>
    </w:rPr>
  </w:style>
  <w:style w:type="paragraph" w:styleId="9">
    <w:name w:val="envelope return"/>
    <w:basedOn w:val="1"/>
    <w:unhideWhenUsed/>
    <w:qFormat/>
    <w:uiPriority w:val="99"/>
    <w:pPr>
      <w:snapToGrid w:val="0"/>
      <w:ind w:firstLine="723"/>
      <w:jc w:val="left"/>
    </w:pPr>
    <w:rPr>
      <w:rFonts w:ascii="Arial" w:hAnsi="Arial" w:cs="宋体"/>
    </w:rPr>
  </w:style>
  <w:style w:type="paragraph" w:styleId="10">
    <w:name w:val="annotation text"/>
    <w:basedOn w:val="1"/>
    <w:qFormat/>
    <w:uiPriority w:val="0"/>
    <w:pPr>
      <w:jc w:val="left"/>
    </w:pPr>
  </w:style>
  <w:style w:type="paragraph" w:styleId="11">
    <w:name w:val="Body Text"/>
    <w:basedOn w:val="1"/>
    <w:link w:val="22"/>
    <w:qFormat/>
    <w:uiPriority w:val="0"/>
    <w:pPr>
      <w:spacing w:after="120"/>
    </w:pPr>
  </w:style>
  <w:style w:type="paragraph" w:styleId="12">
    <w:name w:val="Plain Text"/>
    <w:basedOn w:val="1"/>
    <w:qFormat/>
    <w:uiPriority w:val="0"/>
    <w:rPr>
      <w:rFonts w:ascii="宋体" w:hAnsi="Courier New"/>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Walker"/>
    <w:basedOn w:val="1"/>
    <w:qFormat/>
    <w:uiPriority w:val="0"/>
    <w:rPr>
      <w:rFonts w:cs="宋体"/>
      <w:sz w:val="24"/>
      <w:szCs w:val="22"/>
    </w:rPr>
  </w:style>
  <w:style w:type="paragraph" w:customStyle="1" w:styleId="17">
    <w:name w:val="表头"/>
    <w:basedOn w:val="12"/>
    <w:qFormat/>
    <w:uiPriority w:val="0"/>
    <w:pPr>
      <w:spacing w:before="50" w:beforeLines="50" w:after="50" w:afterLines="50" w:line="360" w:lineRule="auto"/>
      <w:jc w:val="center"/>
    </w:pPr>
    <w:rPr>
      <w:rFonts w:ascii="Times New Roman" w:hAnsi="Times New Roman" w:cs="Arial"/>
      <w:szCs w:val="22"/>
    </w:rPr>
  </w:style>
  <w:style w:type="paragraph" w:customStyle="1" w:styleId="18">
    <w:name w:val="表中字体-Walker"/>
    <w:basedOn w:val="1"/>
    <w:qFormat/>
    <w:uiPriority w:val="0"/>
    <w:rPr>
      <w:rFonts w:cs="Arial"/>
      <w:szCs w:val="22"/>
    </w:rPr>
  </w:style>
  <w:style w:type="paragraph" w:customStyle="1" w:styleId="19">
    <w:name w:val="表头-Walker"/>
    <w:basedOn w:val="12"/>
    <w:qFormat/>
    <w:uiPriority w:val="0"/>
    <w:pPr>
      <w:spacing w:before="50" w:beforeLines="50" w:after="50" w:afterLines="50" w:line="360" w:lineRule="auto"/>
      <w:jc w:val="center"/>
    </w:pPr>
    <w:rPr>
      <w:rFonts w:ascii="Times New Roman" w:hAnsi="Times New Roman" w:cs="Arial"/>
      <w:b/>
      <w:szCs w:val="22"/>
    </w:rPr>
  </w:style>
  <w:style w:type="character" w:customStyle="1" w:styleId="20">
    <w:name w:val="标题 2 字符"/>
    <w:link w:val="4"/>
    <w:qFormat/>
    <w:uiPriority w:val="0"/>
    <w:rPr>
      <w:rFonts w:ascii="Times New Roman" w:hAnsi="Times New Roman" w:eastAsiaTheme="minorEastAsia"/>
      <w:b/>
      <w:bCs/>
      <w:sz w:val="28"/>
      <w:szCs w:val="32"/>
    </w:rPr>
  </w:style>
  <w:style w:type="paragraph" w:customStyle="1" w:styleId="21">
    <w:name w:val="普通(网站)1"/>
    <w:basedOn w:val="1"/>
    <w:qFormat/>
    <w:uiPriority w:val="0"/>
    <w:pPr>
      <w:spacing w:before="100" w:beforeAutospacing="1" w:after="100" w:afterAutospacing="1"/>
    </w:pPr>
    <w:rPr>
      <w:rFonts w:ascii="宋体" w:hAnsi="宋体" w:cs="宋体"/>
      <w:sz w:val="24"/>
    </w:rPr>
  </w:style>
  <w:style w:type="character" w:customStyle="1" w:styleId="22">
    <w:name w:val="正文文本 字符"/>
    <w:basedOn w:val="15"/>
    <w:link w:val="11"/>
    <w:qFormat/>
    <w:uiPriority w:val="0"/>
    <w:rPr>
      <w:rFonts w:ascii="Times New Roman" w:hAnsi="Times New Roman"/>
      <w:kern w:val="2"/>
      <w:sz w:val="21"/>
      <w:szCs w:val="24"/>
    </w:rPr>
  </w:style>
  <w:style w:type="paragraph" w:customStyle="1" w:styleId="2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4">
    <w:name w:val="表格"/>
    <w:basedOn w:val="12"/>
    <w:next w:val="1"/>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paragraph" w:customStyle="1" w:styleId="25">
    <w:name w:val="图表标题"/>
    <w:basedOn w:val="1"/>
    <w:qFormat/>
    <w:uiPriority w:val="0"/>
    <w:pPr>
      <w:ind w:firstLine="0" w:firstLineChars="0"/>
      <w:jc w:val="center"/>
    </w:pPr>
    <w:rPr>
      <w:rFonts w:eastAsia="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3214</Words>
  <Characters>3866</Characters>
  <Lines>16</Lines>
  <Paragraphs>4</Paragraphs>
  <TotalTime>3</TotalTime>
  <ScaleCrop>false</ScaleCrop>
  <LinksUpToDate>false</LinksUpToDate>
  <CharactersWithSpaces>3872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2021-07-10T03:11:00Z</dcterms:created>
  <dc:creator>Walker</dc:creator>
  <cp:lastModifiedBy>哈哈</cp:lastModifiedBy>
  <cp:lastPrinted>2020-11-11T00:40:00Z</cp:lastPrinted>
  <dcterms:modified xsi:type="dcterms:W3CDTF">2025-09-18T07:50:49Z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0A7E81F9C68E49139712B16C0AAC6B9B</vt:lpwstr>
  </property>
  <property fmtid="{D5CDD505-2E9C-101B-9397-08002B2CF9AE}" pid="4" name="KSOTemplateDocerSaveRecord">
    <vt:lpwstr>eyJoZGlkIjoiMDZiY2FmZjc4OGQzY2Y3MWQ2MzE5ODNkOWU5NTUwMzYiLCJ1c2VySWQiOiI2MTY3NzkyMzQifQ==</vt:lpwstr>
  </property>
</Properties>
</file>